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0641" w:rsidTr="00345119">
        <w:tc>
          <w:tcPr>
            <w:tcW w:w="9576" w:type="dxa"/>
            <w:noWrap/>
          </w:tcPr>
          <w:p w:rsidR="008423E4" w:rsidRPr="0022177D" w:rsidRDefault="001563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63F6" w:rsidP="008423E4">
      <w:pPr>
        <w:jc w:val="center"/>
      </w:pPr>
    </w:p>
    <w:p w:rsidR="008423E4" w:rsidRPr="00B31F0E" w:rsidRDefault="001563F6" w:rsidP="008423E4"/>
    <w:p w:rsidR="008423E4" w:rsidRPr="00742794" w:rsidRDefault="001563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0641" w:rsidTr="00345119">
        <w:tc>
          <w:tcPr>
            <w:tcW w:w="9576" w:type="dxa"/>
          </w:tcPr>
          <w:p w:rsidR="008423E4" w:rsidRPr="00861995" w:rsidRDefault="001563F6" w:rsidP="00345119">
            <w:pPr>
              <w:jc w:val="right"/>
            </w:pPr>
            <w:r>
              <w:t>S.B. 584</w:t>
            </w:r>
          </w:p>
        </w:tc>
      </w:tr>
      <w:tr w:rsidR="00650641" w:rsidTr="00345119">
        <w:tc>
          <w:tcPr>
            <w:tcW w:w="9576" w:type="dxa"/>
          </w:tcPr>
          <w:p w:rsidR="008423E4" w:rsidRPr="00861995" w:rsidRDefault="001563F6" w:rsidP="004C79F4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650641" w:rsidTr="00345119">
        <w:tc>
          <w:tcPr>
            <w:tcW w:w="9576" w:type="dxa"/>
          </w:tcPr>
          <w:p w:rsidR="008423E4" w:rsidRPr="00861995" w:rsidRDefault="001563F6" w:rsidP="00345119">
            <w:pPr>
              <w:jc w:val="right"/>
            </w:pPr>
            <w:r>
              <w:t>Public Health</w:t>
            </w:r>
          </w:p>
        </w:tc>
      </w:tr>
      <w:tr w:rsidR="00650641" w:rsidTr="00345119">
        <w:tc>
          <w:tcPr>
            <w:tcW w:w="9576" w:type="dxa"/>
          </w:tcPr>
          <w:p w:rsidR="008423E4" w:rsidRDefault="001563F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63F6" w:rsidP="008423E4">
      <w:pPr>
        <w:tabs>
          <w:tab w:val="right" w:pos="9360"/>
        </w:tabs>
      </w:pPr>
    </w:p>
    <w:p w:rsidR="008423E4" w:rsidRDefault="001563F6" w:rsidP="008423E4"/>
    <w:p w:rsidR="008423E4" w:rsidRDefault="001563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0641" w:rsidTr="00345119">
        <w:tc>
          <w:tcPr>
            <w:tcW w:w="9576" w:type="dxa"/>
          </w:tcPr>
          <w:p w:rsidR="008423E4" w:rsidRPr="00A8133F" w:rsidRDefault="001563F6" w:rsidP="00F840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63F6" w:rsidP="00F84094"/>
          <w:p w:rsidR="008423E4" w:rsidRDefault="001563F6" w:rsidP="00F84094">
            <w:pPr>
              <w:pStyle w:val="Header"/>
              <w:jc w:val="both"/>
            </w:pPr>
            <w:r>
              <w:t>According to interested parties, r</w:t>
            </w:r>
            <w:r>
              <w:t>ecent reports indicate a steep increase in the number of deaths from opioid</w:t>
            </w:r>
            <w:r>
              <w:t>-related</w:t>
            </w:r>
            <w:r>
              <w:t xml:space="preserve"> </w:t>
            </w:r>
            <w:r>
              <w:t xml:space="preserve">overdoses </w:t>
            </w:r>
            <w:r>
              <w:t xml:space="preserve">and that number could be reduced by establishing guidelines for the appropriate prescription of an opioid antagonist, such as naloxone, alongside an opioid prescription to a patient at risk of overdose. S.B. 584 seeks to provide for </w:t>
            </w:r>
            <w:r>
              <w:t>these</w:t>
            </w:r>
            <w:r>
              <w:t xml:space="preserve"> guidelines.</w:t>
            </w:r>
          </w:p>
          <w:p w:rsidR="008423E4" w:rsidRPr="00E26B13" w:rsidRDefault="001563F6" w:rsidP="00F84094">
            <w:pPr>
              <w:rPr>
                <w:b/>
              </w:rPr>
            </w:pPr>
          </w:p>
        </w:tc>
      </w:tr>
      <w:tr w:rsidR="00650641" w:rsidTr="00345119">
        <w:tc>
          <w:tcPr>
            <w:tcW w:w="9576" w:type="dxa"/>
          </w:tcPr>
          <w:p w:rsidR="0017725B" w:rsidRDefault="001563F6" w:rsidP="00F840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1563F6" w:rsidP="00F84094">
            <w:pPr>
              <w:rPr>
                <w:b/>
                <w:u w:val="single"/>
              </w:rPr>
            </w:pPr>
          </w:p>
          <w:p w:rsidR="00611325" w:rsidRPr="00611325" w:rsidRDefault="001563F6" w:rsidP="00F8409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1563F6" w:rsidP="00F84094">
            <w:pPr>
              <w:rPr>
                <w:b/>
                <w:u w:val="single"/>
              </w:rPr>
            </w:pPr>
          </w:p>
        </w:tc>
      </w:tr>
      <w:tr w:rsidR="00650641" w:rsidTr="00345119">
        <w:tc>
          <w:tcPr>
            <w:tcW w:w="9576" w:type="dxa"/>
          </w:tcPr>
          <w:p w:rsidR="008423E4" w:rsidRPr="00A8133F" w:rsidRDefault="001563F6" w:rsidP="00F840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63F6" w:rsidP="00F84094"/>
          <w:p w:rsidR="00611325" w:rsidRDefault="001563F6" w:rsidP="00F840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63F6" w:rsidP="00F84094">
            <w:pPr>
              <w:rPr>
                <w:b/>
              </w:rPr>
            </w:pPr>
          </w:p>
        </w:tc>
      </w:tr>
      <w:tr w:rsidR="00650641" w:rsidTr="00345119">
        <w:tc>
          <w:tcPr>
            <w:tcW w:w="9576" w:type="dxa"/>
          </w:tcPr>
          <w:p w:rsidR="008423E4" w:rsidRPr="00A8133F" w:rsidRDefault="001563F6" w:rsidP="00F840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63F6" w:rsidP="00F84094"/>
          <w:p w:rsidR="00C97E8A" w:rsidRDefault="001563F6" w:rsidP="00F840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584</w:t>
            </w:r>
            <w:r>
              <w:t xml:space="preserve"> amends the Occupations Code to require the Texas Medical Board to adopt guidelines for the prescription of opioid antagonists</w:t>
            </w:r>
            <w:r>
              <w:t xml:space="preserve"> that</w:t>
            </w:r>
            <w:r>
              <w:t xml:space="preserve"> address prescribing an opioid antagonist to a patient to whom an opioid medication is also prescribed and identifying patien</w:t>
            </w:r>
            <w:r>
              <w:t>ts at risk of an opioid-related drug overdose and prescribing an opioid antagonist to that patient or to a person in a position to administer the opioid antagonist to that patient.</w:t>
            </w:r>
            <w:r>
              <w:t xml:space="preserve"> The bill requires the board</w:t>
            </w:r>
            <w:r>
              <w:t>,</w:t>
            </w:r>
            <w:r>
              <w:t xml:space="preserve"> i</w:t>
            </w:r>
            <w:r>
              <w:t xml:space="preserve">n adopting </w:t>
            </w:r>
            <w:r>
              <w:t xml:space="preserve">the </w:t>
            </w:r>
            <w:r>
              <w:t>guidelines</w:t>
            </w:r>
            <w:r>
              <w:t>,</w:t>
            </w:r>
            <w:r>
              <w:t xml:space="preserve"> to </w:t>
            </w:r>
            <w:r>
              <w:t>consult with th</w:t>
            </w:r>
            <w:r>
              <w:t xml:space="preserve">e Texas State Board of Pharmacy and </w:t>
            </w:r>
            <w:r>
              <w:t xml:space="preserve">consult </w:t>
            </w:r>
            <w:r>
              <w:t>materials published by the Substance Abuse and Mental Health Services Ad</w:t>
            </w:r>
            <w:r>
              <w:t>ministration of the U.S.</w:t>
            </w:r>
            <w:r>
              <w:t xml:space="preserve"> Departme</w:t>
            </w:r>
            <w:r>
              <w:t>nt of Health and Human Services</w:t>
            </w:r>
            <w:r>
              <w:t xml:space="preserve"> and</w:t>
            </w:r>
            <w:r>
              <w:t xml:space="preserve"> authorizes the board to</w:t>
            </w:r>
            <w:r>
              <w:t xml:space="preserve"> consult other appropriate materials.</w:t>
            </w:r>
            <w:r>
              <w:t xml:space="preserve"> The bill </w:t>
            </w:r>
            <w:r>
              <w:t>e</w:t>
            </w:r>
            <w:r>
              <w:t>xempts</w:t>
            </w:r>
            <w:r>
              <w:t xml:space="preserve"> a p</w:t>
            </w:r>
            <w:r>
              <w:t xml:space="preserve">hysician who acts in good faith and with reasonable care, regardless of whether the physician follows the guidelines, </w:t>
            </w:r>
            <w:r>
              <w:t>from</w:t>
            </w:r>
            <w:r>
              <w:t xml:space="preserve"> criminal or civil liability or any profe</w:t>
            </w:r>
            <w:r>
              <w:t>ssional disciplinary action for</w:t>
            </w:r>
            <w:r>
              <w:t xml:space="preserve"> prescribing or failing to </w:t>
            </w:r>
            <w:r>
              <w:t>prescribe an opioid antag</w:t>
            </w:r>
            <w:r>
              <w:t xml:space="preserve">onist </w:t>
            </w:r>
            <w:r>
              <w:t xml:space="preserve">or </w:t>
            </w:r>
            <w:r>
              <w:t xml:space="preserve">for </w:t>
            </w:r>
            <w:r>
              <w:t>any outcome resulting from the eventual administration of an opioid antagonist prescribed by the physician.</w:t>
            </w:r>
          </w:p>
          <w:p w:rsidR="008423E4" w:rsidRPr="00835628" w:rsidRDefault="001563F6" w:rsidP="00F84094">
            <w:pPr>
              <w:rPr>
                <w:b/>
              </w:rPr>
            </w:pPr>
          </w:p>
        </w:tc>
      </w:tr>
      <w:tr w:rsidR="00650641" w:rsidTr="00345119">
        <w:tc>
          <w:tcPr>
            <w:tcW w:w="9576" w:type="dxa"/>
          </w:tcPr>
          <w:p w:rsidR="008423E4" w:rsidRPr="00A8133F" w:rsidRDefault="001563F6" w:rsidP="00F840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63F6" w:rsidP="00F84094"/>
          <w:p w:rsidR="008423E4" w:rsidRPr="003624F2" w:rsidRDefault="001563F6" w:rsidP="00F840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563F6" w:rsidP="00F84094">
            <w:pPr>
              <w:rPr>
                <w:b/>
              </w:rPr>
            </w:pPr>
          </w:p>
        </w:tc>
      </w:tr>
    </w:tbl>
    <w:p w:rsidR="008423E4" w:rsidRPr="00BE0E75" w:rsidRDefault="001563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63F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3F6">
      <w:r>
        <w:separator/>
      </w:r>
    </w:p>
  </w:endnote>
  <w:endnote w:type="continuationSeparator" w:id="0">
    <w:p w:rsidR="00000000" w:rsidRDefault="001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0641" w:rsidTr="009C1E9A">
      <w:trPr>
        <w:cantSplit/>
      </w:trPr>
      <w:tc>
        <w:tcPr>
          <w:tcW w:w="0" w:type="pct"/>
        </w:tcPr>
        <w:p w:rsidR="00137D90" w:rsidRDefault="00156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6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6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6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6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641" w:rsidTr="009C1E9A">
      <w:trPr>
        <w:cantSplit/>
      </w:trPr>
      <w:tc>
        <w:tcPr>
          <w:tcW w:w="0" w:type="pct"/>
        </w:tcPr>
        <w:p w:rsidR="00EC379B" w:rsidRDefault="00156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63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28677</w:t>
          </w:r>
        </w:p>
      </w:tc>
      <w:tc>
        <w:tcPr>
          <w:tcW w:w="2453" w:type="pct"/>
        </w:tcPr>
        <w:p w:rsidR="00EC379B" w:rsidRDefault="00156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17.125.492</w:t>
          </w:r>
          <w:r>
            <w:fldChar w:fldCharType="end"/>
          </w:r>
        </w:p>
      </w:tc>
    </w:tr>
    <w:tr w:rsidR="00650641" w:rsidTr="009C1E9A">
      <w:trPr>
        <w:cantSplit/>
      </w:trPr>
      <w:tc>
        <w:tcPr>
          <w:tcW w:w="0" w:type="pct"/>
        </w:tcPr>
        <w:p w:rsidR="00EC379B" w:rsidRDefault="00156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6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63F6" w:rsidP="006D504F">
          <w:pPr>
            <w:pStyle w:val="Footer"/>
            <w:rPr>
              <w:rStyle w:val="PageNumber"/>
            </w:rPr>
          </w:pPr>
        </w:p>
        <w:p w:rsidR="00EC379B" w:rsidRDefault="00156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06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63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63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63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3F6">
      <w:r>
        <w:separator/>
      </w:r>
    </w:p>
  </w:footnote>
  <w:footnote w:type="continuationSeparator" w:id="0">
    <w:p w:rsidR="00000000" w:rsidRDefault="0015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1"/>
    <w:rsid w:val="001563F6"/>
    <w:rsid w:val="006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7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E8A"/>
  </w:style>
  <w:style w:type="paragraph" w:styleId="CommentSubject">
    <w:name w:val="annotation subject"/>
    <w:basedOn w:val="CommentText"/>
    <w:next w:val="CommentText"/>
    <w:link w:val="CommentSubjectChar"/>
    <w:rsid w:val="00C97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7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E8A"/>
  </w:style>
  <w:style w:type="paragraph" w:styleId="CommentSubject">
    <w:name w:val="annotation subject"/>
    <w:basedOn w:val="CommentText"/>
    <w:next w:val="CommentText"/>
    <w:link w:val="CommentSubjectChar"/>
    <w:rsid w:val="00C97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1827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SB00584 (Committee Report (Unamended))</vt:lpstr>
    </vt:vector>
  </TitlesOfParts>
  <Company>State of Texas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28677</dc:subject>
  <dc:creator>State of Texas</dc:creator>
  <dc:description>SB 584 by West-(H)Public Health</dc:description>
  <cp:lastModifiedBy>Brianna Weis</cp:lastModifiedBy>
  <cp:revision>2</cp:revision>
  <cp:lastPrinted>2003-11-26T17:21:00Z</cp:lastPrinted>
  <dcterms:created xsi:type="dcterms:W3CDTF">2017-05-20T17:27:00Z</dcterms:created>
  <dcterms:modified xsi:type="dcterms:W3CDTF">2017-05-20T17:27:00Z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17.125.492</vt:lpwstr>
  </property>
</Properties>
</file>