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01" w:rsidRDefault="00546734">
      <w:bookmarkStart w:id="0" w:name="_GoBack"/>
      <w:bookmarkEnd w:id="0"/>
    </w:p>
    <w:tbl>
      <w:tblPr>
        <w:tblW w:w="0" w:type="auto"/>
        <w:tblLook w:val="01E0" w:firstRow="1" w:lastRow="1" w:firstColumn="1" w:lastColumn="1" w:noHBand="0" w:noVBand="0"/>
      </w:tblPr>
      <w:tblGrid>
        <w:gridCol w:w="9576"/>
      </w:tblGrid>
      <w:tr w:rsidR="009304E8" w:rsidTr="00345119">
        <w:tc>
          <w:tcPr>
            <w:tcW w:w="9576" w:type="dxa"/>
            <w:noWrap/>
          </w:tcPr>
          <w:p w:rsidR="008423E4" w:rsidRPr="0022177D" w:rsidRDefault="00546734" w:rsidP="00345119">
            <w:pPr>
              <w:pStyle w:val="Heading1"/>
            </w:pPr>
            <w:r w:rsidRPr="00631897">
              <w:t>BILL ANALYSIS</w:t>
            </w:r>
          </w:p>
        </w:tc>
      </w:tr>
    </w:tbl>
    <w:p w:rsidR="008423E4" w:rsidRPr="0022177D" w:rsidRDefault="00546734" w:rsidP="008423E4">
      <w:pPr>
        <w:jc w:val="center"/>
      </w:pPr>
    </w:p>
    <w:p w:rsidR="008423E4" w:rsidRPr="00B31F0E" w:rsidRDefault="00546734" w:rsidP="008423E4"/>
    <w:p w:rsidR="008423E4" w:rsidRPr="00742794" w:rsidRDefault="00546734" w:rsidP="008423E4">
      <w:pPr>
        <w:tabs>
          <w:tab w:val="right" w:pos="9360"/>
        </w:tabs>
      </w:pPr>
    </w:p>
    <w:tbl>
      <w:tblPr>
        <w:tblW w:w="0" w:type="auto"/>
        <w:tblLayout w:type="fixed"/>
        <w:tblLook w:val="01E0" w:firstRow="1" w:lastRow="1" w:firstColumn="1" w:lastColumn="1" w:noHBand="0" w:noVBand="0"/>
      </w:tblPr>
      <w:tblGrid>
        <w:gridCol w:w="9576"/>
      </w:tblGrid>
      <w:tr w:rsidR="009304E8" w:rsidTr="00345119">
        <w:tc>
          <w:tcPr>
            <w:tcW w:w="9576" w:type="dxa"/>
          </w:tcPr>
          <w:p w:rsidR="008423E4" w:rsidRPr="00861995" w:rsidRDefault="00546734" w:rsidP="00345119">
            <w:pPr>
              <w:jc w:val="right"/>
            </w:pPr>
            <w:r>
              <w:t>S.B. 601</w:t>
            </w:r>
          </w:p>
        </w:tc>
      </w:tr>
      <w:tr w:rsidR="009304E8" w:rsidTr="00345119">
        <w:tc>
          <w:tcPr>
            <w:tcW w:w="9576" w:type="dxa"/>
          </w:tcPr>
          <w:p w:rsidR="008423E4" w:rsidRPr="00861995" w:rsidRDefault="00546734" w:rsidP="000C1362">
            <w:pPr>
              <w:jc w:val="right"/>
            </w:pPr>
            <w:r>
              <w:t xml:space="preserve">By: </w:t>
            </w:r>
            <w:r>
              <w:t>Campbell</w:t>
            </w:r>
          </w:p>
        </w:tc>
      </w:tr>
      <w:tr w:rsidR="009304E8" w:rsidTr="00345119">
        <w:tc>
          <w:tcPr>
            <w:tcW w:w="9576" w:type="dxa"/>
          </w:tcPr>
          <w:p w:rsidR="008423E4" w:rsidRPr="00861995" w:rsidRDefault="00546734" w:rsidP="00345119">
            <w:pPr>
              <w:jc w:val="right"/>
            </w:pPr>
            <w:r>
              <w:t>Public Education</w:t>
            </w:r>
          </w:p>
        </w:tc>
      </w:tr>
      <w:tr w:rsidR="009304E8" w:rsidTr="00345119">
        <w:tc>
          <w:tcPr>
            <w:tcW w:w="9576" w:type="dxa"/>
          </w:tcPr>
          <w:p w:rsidR="008423E4" w:rsidRDefault="00546734" w:rsidP="00345119">
            <w:pPr>
              <w:jc w:val="right"/>
            </w:pPr>
            <w:r>
              <w:t>Committee Report (Unamended)</w:t>
            </w:r>
          </w:p>
        </w:tc>
      </w:tr>
    </w:tbl>
    <w:p w:rsidR="008423E4" w:rsidRDefault="00546734" w:rsidP="008423E4">
      <w:pPr>
        <w:tabs>
          <w:tab w:val="right" w:pos="9360"/>
        </w:tabs>
      </w:pPr>
    </w:p>
    <w:p w:rsidR="008423E4" w:rsidRDefault="00546734" w:rsidP="008423E4"/>
    <w:p w:rsidR="008423E4" w:rsidRDefault="00546734" w:rsidP="008423E4"/>
    <w:tbl>
      <w:tblPr>
        <w:tblW w:w="0" w:type="auto"/>
        <w:tblCellMar>
          <w:left w:w="115" w:type="dxa"/>
          <w:right w:w="115" w:type="dxa"/>
        </w:tblCellMar>
        <w:tblLook w:val="01E0" w:firstRow="1" w:lastRow="1" w:firstColumn="1" w:lastColumn="1" w:noHBand="0" w:noVBand="0"/>
      </w:tblPr>
      <w:tblGrid>
        <w:gridCol w:w="9576"/>
      </w:tblGrid>
      <w:tr w:rsidR="009304E8" w:rsidTr="00345119">
        <w:tc>
          <w:tcPr>
            <w:tcW w:w="9576" w:type="dxa"/>
          </w:tcPr>
          <w:p w:rsidR="008423E4" w:rsidRPr="00A8133F" w:rsidRDefault="00546734" w:rsidP="00034DDD">
            <w:pPr>
              <w:rPr>
                <w:b/>
              </w:rPr>
            </w:pPr>
            <w:r w:rsidRPr="009C1E9A">
              <w:rPr>
                <w:b/>
                <w:u w:val="single"/>
              </w:rPr>
              <w:t>BACKGROUND AND PURPOSE</w:t>
            </w:r>
            <w:r>
              <w:rPr>
                <w:b/>
              </w:rPr>
              <w:t xml:space="preserve"> </w:t>
            </w:r>
          </w:p>
          <w:p w:rsidR="008423E4" w:rsidRDefault="00546734" w:rsidP="00034DDD"/>
          <w:p w:rsidR="008423E4" w:rsidRDefault="00546734" w:rsidP="00034DDD">
            <w:pPr>
              <w:pStyle w:val="Header"/>
              <w:jc w:val="both"/>
            </w:pPr>
            <w:r>
              <w:t xml:space="preserve">Interested parties suggest that there is confusion as to whether the exemption for public school districts from certain municipal drainage requirements applies to charter schools. S.B. 601 seeks to clarify this matter by </w:t>
            </w:r>
            <w:r>
              <w:t xml:space="preserve">expressly </w:t>
            </w:r>
            <w:r>
              <w:t>including certain open-en</w:t>
            </w:r>
            <w:r>
              <w:t>rollment charter schools in the exemption.</w:t>
            </w:r>
          </w:p>
          <w:p w:rsidR="008423E4" w:rsidRPr="00E26B13" w:rsidRDefault="00546734" w:rsidP="00034DDD">
            <w:pPr>
              <w:rPr>
                <w:b/>
              </w:rPr>
            </w:pPr>
          </w:p>
        </w:tc>
      </w:tr>
      <w:tr w:rsidR="009304E8" w:rsidTr="00345119">
        <w:tc>
          <w:tcPr>
            <w:tcW w:w="9576" w:type="dxa"/>
          </w:tcPr>
          <w:p w:rsidR="0017725B" w:rsidRDefault="00546734" w:rsidP="00034DDD">
            <w:pPr>
              <w:rPr>
                <w:b/>
                <w:u w:val="single"/>
              </w:rPr>
            </w:pPr>
            <w:r>
              <w:rPr>
                <w:b/>
                <w:u w:val="single"/>
              </w:rPr>
              <w:t>CRIMINAL JUSTICE IMPACT</w:t>
            </w:r>
          </w:p>
          <w:p w:rsidR="0017725B" w:rsidRDefault="00546734" w:rsidP="00034DDD">
            <w:pPr>
              <w:rPr>
                <w:b/>
                <w:u w:val="single"/>
              </w:rPr>
            </w:pPr>
          </w:p>
          <w:p w:rsidR="00893273" w:rsidRPr="00893273" w:rsidRDefault="00546734" w:rsidP="00034DDD">
            <w:pPr>
              <w:jc w:val="both"/>
            </w:pPr>
            <w:r>
              <w:t>It is the committee's opinion that this bill does not expressly create a criminal offense, increase the punishment for an existing criminal offense or category of offenses, or change the</w:t>
            </w:r>
            <w:r>
              <w:t xml:space="preserve"> eligibility of a person for community supervision, parole, or mandatory supervision.</w:t>
            </w:r>
          </w:p>
          <w:p w:rsidR="0017725B" w:rsidRPr="0017725B" w:rsidRDefault="00546734" w:rsidP="00034DDD">
            <w:pPr>
              <w:rPr>
                <w:b/>
                <w:u w:val="single"/>
              </w:rPr>
            </w:pPr>
          </w:p>
        </w:tc>
      </w:tr>
      <w:tr w:rsidR="009304E8" w:rsidTr="00345119">
        <w:tc>
          <w:tcPr>
            <w:tcW w:w="9576" w:type="dxa"/>
          </w:tcPr>
          <w:p w:rsidR="008423E4" w:rsidRPr="00A8133F" w:rsidRDefault="00546734" w:rsidP="00034DDD">
            <w:pPr>
              <w:rPr>
                <w:b/>
              </w:rPr>
            </w:pPr>
            <w:r w:rsidRPr="009C1E9A">
              <w:rPr>
                <w:b/>
                <w:u w:val="single"/>
              </w:rPr>
              <w:t>RULEMAKING AUTHORITY</w:t>
            </w:r>
            <w:r>
              <w:rPr>
                <w:b/>
              </w:rPr>
              <w:t xml:space="preserve"> </w:t>
            </w:r>
          </w:p>
          <w:p w:rsidR="008423E4" w:rsidRDefault="00546734" w:rsidP="00034DDD"/>
          <w:p w:rsidR="00893273" w:rsidRDefault="00546734" w:rsidP="00034DDD">
            <w:pPr>
              <w:pStyle w:val="Header"/>
              <w:tabs>
                <w:tab w:val="clear" w:pos="4320"/>
                <w:tab w:val="clear" w:pos="8640"/>
              </w:tabs>
              <w:jc w:val="both"/>
            </w:pPr>
            <w:r>
              <w:t>It is the committee's opinion that this bill does not expressly grant any additional rulemaking authority to a state officer, department, agency,</w:t>
            </w:r>
            <w:r>
              <w:t xml:space="preserve"> or institution.</w:t>
            </w:r>
          </w:p>
          <w:p w:rsidR="008423E4" w:rsidRPr="00E21FDC" w:rsidRDefault="00546734" w:rsidP="00034DDD">
            <w:pPr>
              <w:rPr>
                <w:b/>
              </w:rPr>
            </w:pPr>
          </w:p>
        </w:tc>
      </w:tr>
      <w:tr w:rsidR="009304E8" w:rsidTr="00345119">
        <w:tc>
          <w:tcPr>
            <w:tcW w:w="9576" w:type="dxa"/>
          </w:tcPr>
          <w:p w:rsidR="008423E4" w:rsidRPr="00A8133F" w:rsidRDefault="00546734" w:rsidP="00034DDD">
            <w:pPr>
              <w:rPr>
                <w:b/>
              </w:rPr>
            </w:pPr>
            <w:r w:rsidRPr="009C1E9A">
              <w:rPr>
                <w:b/>
                <w:u w:val="single"/>
              </w:rPr>
              <w:t>ANALYSIS</w:t>
            </w:r>
            <w:r>
              <w:rPr>
                <w:b/>
              </w:rPr>
              <w:t xml:space="preserve"> </w:t>
            </w:r>
          </w:p>
          <w:p w:rsidR="008423E4" w:rsidRDefault="00546734" w:rsidP="00034DDD"/>
          <w:p w:rsidR="008423E4" w:rsidRDefault="00546734" w:rsidP="00034DDD">
            <w:pPr>
              <w:pStyle w:val="Header"/>
              <w:tabs>
                <w:tab w:val="clear" w:pos="4320"/>
                <w:tab w:val="clear" w:pos="8640"/>
              </w:tabs>
              <w:jc w:val="both"/>
            </w:pPr>
            <w:r>
              <w:t>S.B. 601</w:t>
            </w:r>
            <w:r>
              <w:t xml:space="preserve"> amends the Local Government Code to extend the applica</w:t>
            </w:r>
            <w:r>
              <w:t>bility</w:t>
            </w:r>
            <w:r>
              <w:t xml:space="preserve"> of </w:t>
            </w:r>
            <w:r>
              <w:t xml:space="preserve">the </w:t>
            </w:r>
            <w:r>
              <w:t>exempt</w:t>
            </w:r>
            <w:r>
              <w:t>ion for</w:t>
            </w:r>
            <w:r>
              <w:t xml:space="preserve"> a public school district from </w:t>
            </w:r>
            <w:r>
              <w:t xml:space="preserve">the </w:t>
            </w:r>
            <w:r w:rsidRPr="00B61B8C">
              <w:t>Municipal Drainage Utility Systems Act</w:t>
            </w:r>
            <w:r>
              <w:t xml:space="preserve"> </w:t>
            </w:r>
            <w:r>
              <w:t xml:space="preserve">and </w:t>
            </w:r>
            <w:r w:rsidRPr="004E2F04">
              <w:t>all ordinances, resolutions, and rules</w:t>
            </w:r>
            <w:r>
              <w:t xml:space="preserve"> adopted under </w:t>
            </w:r>
            <w:r>
              <w:t>that</w:t>
            </w:r>
            <w:r>
              <w:t xml:space="preserve"> </w:t>
            </w:r>
            <w:r>
              <w:t xml:space="preserve">act </w:t>
            </w:r>
            <w:r>
              <w:t>to open-enrollment charter schools</w:t>
            </w:r>
            <w:r>
              <w:t xml:space="preserve">, </w:t>
            </w:r>
            <w:r>
              <w:t xml:space="preserve">which the bill </w:t>
            </w:r>
            <w:r>
              <w:t>define</w:t>
            </w:r>
            <w:r>
              <w:t>s</w:t>
            </w:r>
            <w:r>
              <w:t xml:space="preserve"> </w:t>
            </w:r>
            <w:r>
              <w:t>as</w:t>
            </w:r>
            <w:r>
              <w:t xml:space="preserve"> includ</w:t>
            </w:r>
            <w:r>
              <w:t>ing</w:t>
            </w:r>
            <w:r>
              <w:t xml:space="preserve"> a charter school operated by a public college, university, or junior college</w:t>
            </w:r>
            <w:r>
              <w:t xml:space="preserve">. The bill </w:t>
            </w:r>
            <w:r>
              <w:t>requires</w:t>
            </w:r>
            <w:r>
              <w:t xml:space="preserve"> such an exemption</w:t>
            </w:r>
            <w:r>
              <w:t>, if granted,</w:t>
            </w:r>
            <w:r>
              <w:t xml:space="preserve"> </w:t>
            </w:r>
            <w:r>
              <w:t>to</w:t>
            </w:r>
            <w:r w:rsidRPr="004E2F04">
              <w:t xml:space="preserve"> </w:t>
            </w:r>
            <w:r w:rsidRPr="004E2F04">
              <w:t>be granted to both school districts and charter sc</w:t>
            </w:r>
            <w:r w:rsidRPr="004E2F04">
              <w:t>hools</w:t>
            </w:r>
            <w:r>
              <w:t xml:space="preserve"> </w:t>
            </w:r>
            <w:r>
              <w:t>and</w:t>
            </w:r>
            <w:r>
              <w:t xml:space="preserve"> automatically extends an </w:t>
            </w:r>
            <w:r w:rsidRPr="005403FA">
              <w:t>exemption granted to a school district</w:t>
            </w:r>
            <w:r>
              <w:t xml:space="preserve"> under </w:t>
            </w:r>
            <w:r>
              <w:t xml:space="preserve">applicable </w:t>
            </w:r>
            <w:r>
              <w:t>law</w:t>
            </w:r>
            <w:r>
              <w:t xml:space="preserve">, as </w:t>
            </w:r>
            <w:r>
              <w:t xml:space="preserve">that law </w:t>
            </w:r>
            <w:r>
              <w:t xml:space="preserve">existed before the bill's effective date, to </w:t>
            </w:r>
            <w:r w:rsidRPr="005403FA">
              <w:t xml:space="preserve">all open-enrollment charter schools located in the municipality after the </w:t>
            </w:r>
            <w:r>
              <w:t xml:space="preserve">bill's </w:t>
            </w:r>
            <w:r w:rsidRPr="005403FA">
              <w:t xml:space="preserve">effective date unless </w:t>
            </w:r>
            <w:r w:rsidRPr="005403FA">
              <w:t xml:space="preserve">the municipality repeals the exemption before the </w:t>
            </w:r>
            <w:r>
              <w:t xml:space="preserve">bill's </w:t>
            </w:r>
            <w:r w:rsidRPr="005403FA">
              <w:t>effective date.</w:t>
            </w:r>
          </w:p>
          <w:p w:rsidR="008423E4" w:rsidRPr="00835628" w:rsidRDefault="00546734" w:rsidP="00034DDD">
            <w:pPr>
              <w:rPr>
                <w:b/>
              </w:rPr>
            </w:pPr>
          </w:p>
        </w:tc>
      </w:tr>
      <w:tr w:rsidR="009304E8" w:rsidTr="00345119">
        <w:tc>
          <w:tcPr>
            <w:tcW w:w="9576" w:type="dxa"/>
          </w:tcPr>
          <w:p w:rsidR="008423E4" w:rsidRPr="00A8133F" w:rsidRDefault="00546734" w:rsidP="00034DDD">
            <w:pPr>
              <w:rPr>
                <w:b/>
              </w:rPr>
            </w:pPr>
            <w:r w:rsidRPr="009C1E9A">
              <w:rPr>
                <w:b/>
                <w:u w:val="single"/>
              </w:rPr>
              <w:t>EFFECTIVE DATE</w:t>
            </w:r>
            <w:r>
              <w:rPr>
                <w:b/>
              </w:rPr>
              <w:t xml:space="preserve"> </w:t>
            </w:r>
          </w:p>
          <w:p w:rsidR="008423E4" w:rsidRDefault="00546734" w:rsidP="00034DDD"/>
          <w:p w:rsidR="008423E4" w:rsidRPr="003624F2" w:rsidRDefault="00546734" w:rsidP="00034DDD">
            <w:pPr>
              <w:pStyle w:val="Header"/>
              <w:tabs>
                <w:tab w:val="clear" w:pos="4320"/>
                <w:tab w:val="clear" w:pos="8640"/>
              </w:tabs>
              <w:jc w:val="both"/>
            </w:pPr>
            <w:r>
              <w:t>September 1, 2017.</w:t>
            </w:r>
          </w:p>
          <w:p w:rsidR="008423E4" w:rsidRPr="00233FDB" w:rsidRDefault="00546734" w:rsidP="00034DDD">
            <w:pPr>
              <w:rPr>
                <w:b/>
              </w:rPr>
            </w:pPr>
          </w:p>
        </w:tc>
      </w:tr>
    </w:tbl>
    <w:p w:rsidR="008423E4" w:rsidRPr="00BE0E75" w:rsidRDefault="00546734" w:rsidP="008423E4">
      <w:pPr>
        <w:spacing w:line="480" w:lineRule="auto"/>
        <w:jc w:val="both"/>
        <w:rPr>
          <w:rFonts w:ascii="Arial" w:hAnsi="Arial"/>
          <w:sz w:val="16"/>
          <w:szCs w:val="16"/>
        </w:rPr>
      </w:pPr>
    </w:p>
    <w:p w:rsidR="004108C3" w:rsidRPr="008423E4" w:rsidRDefault="0054673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46734">
      <w:r>
        <w:separator/>
      </w:r>
    </w:p>
  </w:endnote>
  <w:endnote w:type="continuationSeparator" w:id="0">
    <w:p w:rsidR="00000000" w:rsidRDefault="0054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304E8" w:rsidTr="009C1E9A">
      <w:trPr>
        <w:cantSplit/>
      </w:trPr>
      <w:tc>
        <w:tcPr>
          <w:tcW w:w="0" w:type="pct"/>
        </w:tcPr>
        <w:p w:rsidR="00137D90" w:rsidRDefault="00546734" w:rsidP="009C1E9A">
          <w:pPr>
            <w:pStyle w:val="Footer"/>
            <w:tabs>
              <w:tab w:val="clear" w:pos="8640"/>
              <w:tab w:val="right" w:pos="9360"/>
            </w:tabs>
          </w:pPr>
        </w:p>
      </w:tc>
      <w:tc>
        <w:tcPr>
          <w:tcW w:w="2395" w:type="pct"/>
        </w:tcPr>
        <w:p w:rsidR="00137D90" w:rsidRDefault="00546734" w:rsidP="009C1E9A">
          <w:pPr>
            <w:pStyle w:val="Footer"/>
            <w:tabs>
              <w:tab w:val="clear" w:pos="8640"/>
              <w:tab w:val="right" w:pos="9360"/>
            </w:tabs>
          </w:pPr>
        </w:p>
        <w:p w:rsidR="001A4310" w:rsidRDefault="00546734" w:rsidP="009C1E9A">
          <w:pPr>
            <w:pStyle w:val="Footer"/>
            <w:tabs>
              <w:tab w:val="clear" w:pos="8640"/>
              <w:tab w:val="right" w:pos="9360"/>
            </w:tabs>
          </w:pPr>
        </w:p>
        <w:p w:rsidR="00137D90" w:rsidRDefault="00546734" w:rsidP="009C1E9A">
          <w:pPr>
            <w:pStyle w:val="Footer"/>
            <w:tabs>
              <w:tab w:val="clear" w:pos="8640"/>
              <w:tab w:val="right" w:pos="9360"/>
            </w:tabs>
          </w:pPr>
        </w:p>
      </w:tc>
      <w:tc>
        <w:tcPr>
          <w:tcW w:w="2453" w:type="pct"/>
        </w:tcPr>
        <w:p w:rsidR="00137D90" w:rsidRDefault="00546734" w:rsidP="009C1E9A">
          <w:pPr>
            <w:pStyle w:val="Footer"/>
            <w:tabs>
              <w:tab w:val="clear" w:pos="8640"/>
              <w:tab w:val="right" w:pos="9360"/>
            </w:tabs>
            <w:jc w:val="right"/>
          </w:pPr>
        </w:p>
      </w:tc>
    </w:tr>
    <w:tr w:rsidR="009304E8" w:rsidTr="009C1E9A">
      <w:trPr>
        <w:cantSplit/>
      </w:trPr>
      <w:tc>
        <w:tcPr>
          <w:tcW w:w="0" w:type="pct"/>
        </w:tcPr>
        <w:p w:rsidR="00EC379B" w:rsidRDefault="00546734" w:rsidP="009C1E9A">
          <w:pPr>
            <w:pStyle w:val="Footer"/>
            <w:tabs>
              <w:tab w:val="clear" w:pos="8640"/>
              <w:tab w:val="right" w:pos="9360"/>
            </w:tabs>
          </w:pPr>
        </w:p>
      </w:tc>
      <w:tc>
        <w:tcPr>
          <w:tcW w:w="2395" w:type="pct"/>
        </w:tcPr>
        <w:p w:rsidR="00EC379B" w:rsidRPr="009C1E9A" w:rsidRDefault="00546734" w:rsidP="009C1E9A">
          <w:pPr>
            <w:pStyle w:val="Footer"/>
            <w:tabs>
              <w:tab w:val="clear" w:pos="8640"/>
              <w:tab w:val="right" w:pos="9360"/>
            </w:tabs>
            <w:rPr>
              <w:rFonts w:ascii="Shruti" w:hAnsi="Shruti"/>
              <w:sz w:val="22"/>
            </w:rPr>
          </w:pPr>
          <w:r>
            <w:rPr>
              <w:rFonts w:ascii="Shruti" w:hAnsi="Shruti"/>
              <w:sz w:val="22"/>
            </w:rPr>
            <w:t>85R 30268</w:t>
          </w:r>
        </w:p>
      </w:tc>
      <w:tc>
        <w:tcPr>
          <w:tcW w:w="2453" w:type="pct"/>
        </w:tcPr>
        <w:p w:rsidR="00EC379B" w:rsidRDefault="00546734" w:rsidP="009C1E9A">
          <w:pPr>
            <w:pStyle w:val="Footer"/>
            <w:tabs>
              <w:tab w:val="clear" w:pos="8640"/>
              <w:tab w:val="right" w:pos="9360"/>
            </w:tabs>
            <w:jc w:val="right"/>
          </w:pPr>
          <w:r>
            <w:fldChar w:fldCharType="begin"/>
          </w:r>
          <w:r>
            <w:instrText xml:space="preserve"> DOCPROPERTY  OTID  \* MERGEFORMAT </w:instrText>
          </w:r>
          <w:r>
            <w:fldChar w:fldCharType="separate"/>
          </w:r>
          <w:r>
            <w:t>17.131.264</w:t>
          </w:r>
          <w:r>
            <w:fldChar w:fldCharType="end"/>
          </w:r>
        </w:p>
      </w:tc>
    </w:tr>
    <w:tr w:rsidR="009304E8" w:rsidTr="009C1E9A">
      <w:trPr>
        <w:cantSplit/>
      </w:trPr>
      <w:tc>
        <w:tcPr>
          <w:tcW w:w="0" w:type="pct"/>
        </w:tcPr>
        <w:p w:rsidR="00EC379B" w:rsidRDefault="00546734" w:rsidP="009C1E9A">
          <w:pPr>
            <w:pStyle w:val="Footer"/>
            <w:tabs>
              <w:tab w:val="clear" w:pos="4320"/>
              <w:tab w:val="clear" w:pos="8640"/>
              <w:tab w:val="left" w:pos="2865"/>
            </w:tabs>
          </w:pPr>
        </w:p>
      </w:tc>
      <w:tc>
        <w:tcPr>
          <w:tcW w:w="2395" w:type="pct"/>
        </w:tcPr>
        <w:p w:rsidR="00EC379B" w:rsidRPr="009C1E9A" w:rsidRDefault="00546734" w:rsidP="009C1E9A">
          <w:pPr>
            <w:pStyle w:val="Footer"/>
            <w:tabs>
              <w:tab w:val="clear" w:pos="4320"/>
              <w:tab w:val="clear" w:pos="8640"/>
              <w:tab w:val="left" w:pos="2865"/>
            </w:tabs>
            <w:rPr>
              <w:rFonts w:ascii="Shruti" w:hAnsi="Shruti"/>
              <w:sz w:val="22"/>
            </w:rPr>
          </w:pPr>
        </w:p>
      </w:tc>
      <w:tc>
        <w:tcPr>
          <w:tcW w:w="2453" w:type="pct"/>
        </w:tcPr>
        <w:p w:rsidR="00EC379B" w:rsidRDefault="00546734" w:rsidP="006D504F">
          <w:pPr>
            <w:pStyle w:val="Footer"/>
            <w:rPr>
              <w:rStyle w:val="PageNumber"/>
            </w:rPr>
          </w:pPr>
        </w:p>
        <w:p w:rsidR="00EC379B" w:rsidRDefault="00546734" w:rsidP="009C1E9A">
          <w:pPr>
            <w:pStyle w:val="Footer"/>
            <w:tabs>
              <w:tab w:val="clear" w:pos="8640"/>
              <w:tab w:val="right" w:pos="9360"/>
            </w:tabs>
            <w:jc w:val="right"/>
          </w:pPr>
        </w:p>
      </w:tc>
    </w:tr>
    <w:tr w:rsidR="009304E8" w:rsidTr="009C1E9A">
      <w:trPr>
        <w:cantSplit/>
        <w:trHeight w:val="323"/>
      </w:trPr>
      <w:tc>
        <w:tcPr>
          <w:tcW w:w="0" w:type="pct"/>
          <w:gridSpan w:val="3"/>
        </w:tcPr>
        <w:p w:rsidR="00EC379B" w:rsidRDefault="0054673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46734" w:rsidP="009C1E9A">
          <w:pPr>
            <w:pStyle w:val="Footer"/>
            <w:tabs>
              <w:tab w:val="clear" w:pos="8640"/>
              <w:tab w:val="right" w:pos="9360"/>
            </w:tabs>
            <w:jc w:val="center"/>
          </w:pPr>
        </w:p>
      </w:tc>
    </w:tr>
  </w:tbl>
  <w:p w:rsidR="00EC379B" w:rsidRPr="00FF6F72" w:rsidRDefault="0054673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46734">
      <w:r>
        <w:separator/>
      </w:r>
    </w:p>
  </w:footnote>
  <w:footnote w:type="continuationSeparator" w:id="0">
    <w:p w:rsidR="00000000" w:rsidRDefault="00546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E8"/>
    <w:rsid w:val="00546734"/>
    <w:rsid w:val="0093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6687"/>
    <w:rPr>
      <w:sz w:val="16"/>
      <w:szCs w:val="16"/>
    </w:rPr>
  </w:style>
  <w:style w:type="paragraph" w:styleId="CommentText">
    <w:name w:val="annotation text"/>
    <w:basedOn w:val="Normal"/>
    <w:link w:val="CommentTextChar"/>
    <w:rsid w:val="00F16687"/>
    <w:rPr>
      <w:sz w:val="20"/>
      <w:szCs w:val="20"/>
    </w:rPr>
  </w:style>
  <w:style w:type="character" w:customStyle="1" w:styleId="CommentTextChar">
    <w:name w:val="Comment Text Char"/>
    <w:basedOn w:val="DefaultParagraphFont"/>
    <w:link w:val="CommentText"/>
    <w:rsid w:val="00F16687"/>
  </w:style>
  <w:style w:type="paragraph" w:styleId="CommentSubject">
    <w:name w:val="annotation subject"/>
    <w:basedOn w:val="CommentText"/>
    <w:next w:val="CommentText"/>
    <w:link w:val="CommentSubjectChar"/>
    <w:rsid w:val="00F16687"/>
    <w:rPr>
      <w:b/>
      <w:bCs/>
    </w:rPr>
  </w:style>
  <w:style w:type="character" w:customStyle="1" w:styleId="CommentSubjectChar">
    <w:name w:val="Comment Subject Char"/>
    <w:basedOn w:val="CommentTextChar"/>
    <w:link w:val="CommentSubject"/>
    <w:rsid w:val="00F16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16687"/>
    <w:rPr>
      <w:sz w:val="16"/>
      <w:szCs w:val="16"/>
    </w:rPr>
  </w:style>
  <w:style w:type="paragraph" w:styleId="CommentText">
    <w:name w:val="annotation text"/>
    <w:basedOn w:val="Normal"/>
    <w:link w:val="CommentTextChar"/>
    <w:rsid w:val="00F16687"/>
    <w:rPr>
      <w:sz w:val="20"/>
      <w:szCs w:val="20"/>
    </w:rPr>
  </w:style>
  <w:style w:type="character" w:customStyle="1" w:styleId="CommentTextChar">
    <w:name w:val="Comment Text Char"/>
    <w:basedOn w:val="DefaultParagraphFont"/>
    <w:link w:val="CommentText"/>
    <w:rsid w:val="00F16687"/>
  </w:style>
  <w:style w:type="paragraph" w:styleId="CommentSubject">
    <w:name w:val="annotation subject"/>
    <w:basedOn w:val="CommentText"/>
    <w:next w:val="CommentText"/>
    <w:link w:val="CommentSubjectChar"/>
    <w:rsid w:val="00F16687"/>
    <w:rPr>
      <w:b/>
      <w:bCs/>
    </w:rPr>
  </w:style>
  <w:style w:type="character" w:customStyle="1" w:styleId="CommentSubjectChar">
    <w:name w:val="Comment Subject Char"/>
    <w:basedOn w:val="CommentTextChar"/>
    <w:link w:val="CommentSubject"/>
    <w:rsid w:val="00F16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1482</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SB00601 (Committee Report (Unamended))</vt:lpstr>
    </vt:vector>
  </TitlesOfParts>
  <Company>State of Texas</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30268</dc:subject>
  <dc:creator>State of Texas</dc:creator>
  <dc:description>SB 601 by Campbell-(H)Public Education</dc:description>
  <cp:lastModifiedBy>Molly Hoffman-Bricker</cp:lastModifiedBy>
  <cp:revision>2</cp:revision>
  <cp:lastPrinted>2017-05-11T16:29:00Z</cp:lastPrinted>
  <dcterms:created xsi:type="dcterms:W3CDTF">2017-05-12T18:53:00Z</dcterms:created>
  <dcterms:modified xsi:type="dcterms:W3CDTF">2017-05-12T18:53:00Z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17.131.264</vt:lpwstr>
  </property>
</Properties>
</file>