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AC" w:rsidRDefault="002E61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3B86695879140578D382BCCEB68C044"/>
          </w:placeholder>
        </w:sdtPr>
        <w:sdtContent>
          <w:r w:rsidRPr="005C2A78">
            <w:rPr>
              <w:rFonts w:cs="Times New Roman"/>
              <w:b/>
              <w:szCs w:val="24"/>
              <w:u w:val="single"/>
            </w:rPr>
            <w:t>BILL ANALYSIS</w:t>
          </w:r>
        </w:sdtContent>
      </w:sdt>
    </w:p>
    <w:p w:rsidR="002E61AC" w:rsidRPr="00585C31" w:rsidRDefault="002E61AC" w:rsidP="000F1DF9">
      <w:pPr>
        <w:spacing w:after="0" w:line="240" w:lineRule="auto"/>
        <w:rPr>
          <w:rFonts w:cs="Times New Roman"/>
          <w:szCs w:val="24"/>
        </w:rPr>
      </w:pPr>
    </w:p>
    <w:p w:rsidR="002E61AC" w:rsidRPr="00585C31" w:rsidRDefault="002E61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61AC" w:rsidTr="000F1DF9">
        <w:tc>
          <w:tcPr>
            <w:tcW w:w="2718" w:type="dxa"/>
          </w:tcPr>
          <w:p w:rsidR="002E61AC" w:rsidRPr="005C2A78" w:rsidRDefault="002E61AC" w:rsidP="006D756B">
            <w:pPr>
              <w:rPr>
                <w:rFonts w:cs="Times New Roman"/>
                <w:szCs w:val="24"/>
              </w:rPr>
            </w:pPr>
            <w:sdt>
              <w:sdtPr>
                <w:rPr>
                  <w:rFonts w:cs="Times New Roman"/>
                  <w:szCs w:val="24"/>
                </w:rPr>
                <w:alias w:val="Agency Title"/>
                <w:tag w:val="AgencyTitleContentControl"/>
                <w:id w:val="1920747753"/>
                <w:lock w:val="sdtContentLocked"/>
                <w:placeholder>
                  <w:docPart w:val="D28893756274494FA7EA06EEC28BB459"/>
                </w:placeholder>
              </w:sdtPr>
              <w:sdtEndPr>
                <w:rPr>
                  <w:rFonts w:cstheme="minorBidi"/>
                  <w:szCs w:val="22"/>
                </w:rPr>
              </w:sdtEndPr>
              <w:sdtContent>
                <w:r>
                  <w:rPr>
                    <w:rFonts w:cs="Times New Roman"/>
                    <w:szCs w:val="24"/>
                  </w:rPr>
                  <w:t>Senate Research Center</w:t>
                </w:r>
              </w:sdtContent>
            </w:sdt>
          </w:p>
        </w:tc>
        <w:tc>
          <w:tcPr>
            <w:tcW w:w="6858" w:type="dxa"/>
          </w:tcPr>
          <w:p w:rsidR="002E61AC" w:rsidRPr="00FF6471" w:rsidRDefault="002E61AC" w:rsidP="000F1DF9">
            <w:pPr>
              <w:jc w:val="right"/>
              <w:rPr>
                <w:rFonts w:cs="Times New Roman"/>
                <w:szCs w:val="24"/>
              </w:rPr>
            </w:pPr>
            <w:sdt>
              <w:sdtPr>
                <w:rPr>
                  <w:rFonts w:cs="Times New Roman"/>
                  <w:szCs w:val="24"/>
                </w:rPr>
                <w:alias w:val="Bill Number"/>
                <w:tag w:val="BillNumberOne"/>
                <w:id w:val="-410784069"/>
                <w:lock w:val="sdtContentLocked"/>
                <w:placeholder>
                  <w:docPart w:val="0164F506E1ED4B0984DDA0BB70D5725D"/>
                </w:placeholder>
              </w:sdtPr>
              <w:sdtContent>
                <w:r>
                  <w:rPr>
                    <w:rFonts w:cs="Times New Roman"/>
                    <w:szCs w:val="24"/>
                  </w:rPr>
                  <w:t>S.B. 612</w:t>
                </w:r>
              </w:sdtContent>
            </w:sdt>
          </w:p>
        </w:tc>
      </w:tr>
      <w:tr w:rsidR="002E61AC" w:rsidTr="000F1DF9">
        <w:sdt>
          <w:sdtPr>
            <w:rPr>
              <w:rFonts w:cs="Times New Roman"/>
              <w:szCs w:val="24"/>
            </w:rPr>
            <w:alias w:val="TLCNumber"/>
            <w:tag w:val="TLCNumber"/>
            <w:id w:val="-542600604"/>
            <w:lock w:val="sdtLocked"/>
            <w:placeholder>
              <w:docPart w:val="E24A40C7F9274C3CB4A262491A759916"/>
            </w:placeholder>
          </w:sdtPr>
          <w:sdtContent>
            <w:tc>
              <w:tcPr>
                <w:tcW w:w="2718" w:type="dxa"/>
              </w:tcPr>
              <w:p w:rsidR="002E61AC" w:rsidRPr="000F1DF9" w:rsidRDefault="002E61AC" w:rsidP="00BD0886">
                <w:pPr>
                  <w:rPr>
                    <w:rFonts w:cs="Times New Roman"/>
                    <w:szCs w:val="24"/>
                  </w:rPr>
                </w:pPr>
                <w:r>
                  <w:rPr>
                    <w:rFonts w:cs="Times New Roman"/>
                    <w:szCs w:val="24"/>
                  </w:rPr>
                  <w:t>85R5711 ATP-D</w:t>
                </w:r>
              </w:p>
            </w:tc>
          </w:sdtContent>
        </w:sdt>
        <w:tc>
          <w:tcPr>
            <w:tcW w:w="6858" w:type="dxa"/>
          </w:tcPr>
          <w:p w:rsidR="002E61AC" w:rsidRPr="005C2A78" w:rsidRDefault="002E61AC" w:rsidP="006D756B">
            <w:pPr>
              <w:jc w:val="right"/>
              <w:rPr>
                <w:rFonts w:cs="Times New Roman"/>
                <w:szCs w:val="24"/>
              </w:rPr>
            </w:pPr>
            <w:sdt>
              <w:sdtPr>
                <w:rPr>
                  <w:rFonts w:cs="Times New Roman"/>
                  <w:szCs w:val="24"/>
                </w:rPr>
                <w:alias w:val="Author Label"/>
                <w:tag w:val="By"/>
                <w:id w:val="72399597"/>
                <w:lock w:val="sdtLocked"/>
                <w:placeholder>
                  <w:docPart w:val="ACA6ABEC02D948309D187CE00F3B31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2FC55AB5FCE4E8381ABF59F16C0ABC5"/>
                </w:placeholder>
              </w:sdtPr>
              <w:sdtContent>
                <w:r>
                  <w:rPr>
                    <w:rFonts w:cs="Times New Roman"/>
                    <w:szCs w:val="24"/>
                  </w:rPr>
                  <w:t>Birdwell; Whitmire</w:t>
                </w:r>
              </w:sdtContent>
            </w:sdt>
            <w:sdt>
              <w:sdtPr>
                <w:rPr>
                  <w:rFonts w:cs="Times New Roman"/>
                  <w:szCs w:val="24"/>
                </w:rPr>
                <w:alias w:val="Sponsor"/>
                <w:tag w:val="Sponsor"/>
                <w:id w:val="-2039656131"/>
                <w:lock w:val="sdtContentLocked"/>
                <w:placeholder>
                  <w:docPart w:val="E6292B1B913C4090B1D68C3DFB267242"/>
                </w:placeholder>
                <w:showingPlcHdr/>
              </w:sdtPr>
              <w:sdtContent/>
            </w:sdt>
          </w:p>
        </w:tc>
      </w:tr>
      <w:tr w:rsidR="002E61AC" w:rsidTr="000F1DF9">
        <w:tc>
          <w:tcPr>
            <w:tcW w:w="2718" w:type="dxa"/>
          </w:tcPr>
          <w:p w:rsidR="002E61AC" w:rsidRPr="00BC7495" w:rsidRDefault="002E61AC" w:rsidP="000F1DF9">
            <w:pPr>
              <w:rPr>
                <w:rFonts w:cs="Times New Roman"/>
                <w:szCs w:val="24"/>
              </w:rPr>
            </w:pPr>
          </w:p>
        </w:tc>
        <w:sdt>
          <w:sdtPr>
            <w:rPr>
              <w:rFonts w:cs="Times New Roman"/>
              <w:szCs w:val="24"/>
            </w:rPr>
            <w:alias w:val="Committee"/>
            <w:tag w:val="Committee"/>
            <w:id w:val="1914272295"/>
            <w:lock w:val="sdtContentLocked"/>
            <w:placeholder>
              <w:docPart w:val="9F7EAC88FC5B4829A8A280E4D6ED59BC"/>
            </w:placeholder>
          </w:sdtPr>
          <w:sdtContent>
            <w:tc>
              <w:tcPr>
                <w:tcW w:w="6858" w:type="dxa"/>
              </w:tcPr>
              <w:p w:rsidR="002E61AC" w:rsidRPr="00FF6471" w:rsidRDefault="002E61AC" w:rsidP="000F1DF9">
                <w:pPr>
                  <w:jc w:val="right"/>
                  <w:rPr>
                    <w:rFonts w:cs="Times New Roman"/>
                    <w:szCs w:val="24"/>
                  </w:rPr>
                </w:pPr>
                <w:r>
                  <w:rPr>
                    <w:rFonts w:cs="Times New Roman"/>
                    <w:szCs w:val="24"/>
                  </w:rPr>
                  <w:t>State Affairs</w:t>
                </w:r>
              </w:p>
            </w:tc>
          </w:sdtContent>
        </w:sdt>
      </w:tr>
      <w:tr w:rsidR="002E61AC" w:rsidTr="000F1DF9">
        <w:tc>
          <w:tcPr>
            <w:tcW w:w="2718" w:type="dxa"/>
          </w:tcPr>
          <w:p w:rsidR="002E61AC" w:rsidRPr="00BC7495" w:rsidRDefault="002E61AC" w:rsidP="000F1DF9">
            <w:pPr>
              <w:rPr>
                <w:rFonts w:cs="Times New Roman"/>
                <w:szCs w:val="24"/>
              </w:rPr>
            </w:pPr>
          </w:p>
        </w:tc>
        <w:sdt>
          <w:sdtPr>
            <w:rPr>
              <w:rFonts w:cs="Times New Roman"/>
              <w:szCs w:val="24"/>
            </w:rPr>
            <w:alias w:val="Date"/>
            <w:tag w:val="DateContentControl"/>
            <w:id w:val="1178081906"/>
            <w:lock w:val="sdtLocked"/>
            <w:placeholder>
              <w:docPart w:val="98F23B193B8E4C06872B7D19ABE9187C"/>
            </w:placeholder>
            <w:date w:fullDate="2017-03-24T00:00:00Z">
              <w:dateFormat w:val="M/d/yyyy"/>
              <w:lid w:val="en-US"/>
              <w:storeMappedDataAs w:val="dateTime"/>
              <w:calendar w:val="gregorian"/>
            </w:date>
          </w:sdtPr>
          <w:sdtContent>
            <w:tc>
              <w:tcPr>
                <w:tcW w:w="6858" w:type="dxa"/>
              </w:tcPr>
              <w:p w:rsidR="002E61AC" w:rsidRPr="00FF6471" w:rsidRDefault="002E61AC" w:rsidP="000F1DF9">
                <w:pPr>
                  <w:jc w:val="right"/>
                  <w:rPr>
                    <w:rFonts w:cs="Times New Roman"/>
                    <w:szCs w:val="24"/>
                  </w:rPr>
                </w:pPr>
                <w:r>
                  <w:rPr>
                    <w:rFonts w:cs="Times New Roman"/>
                    <w:szCs w:val="24"/>
                  </w:rPr>
                  <w:t>3/24/2017</w:t>
                </w:r>
              </w:p>
            </w:tc>
          </w:sdtContent>
        </w:sdt>
      </w:tr>
      <w:tr w:rsidR="002E61AC" w:rsidTr="000F1DF9">
        <w:tc>
          <w:tcPr>
            <w:tcW w:w="2718" w:type="dxa"/>
          </w:tcPr>
          <w:p w:rsidR="002E61AC" w:rsidRPr="00BC7495" w:rsidRDefault="002E61AC" w:rsidP="000F1DF9">
            <w:pPr>
              <w:rPr>
                <w:rFonts w:cs="Times New Roman"/>
                <w:szCs w:val="24"/>
              </w:rPr>
            </w:pPr>
          </w:p>
        </w:tc>
        <w:sdt>
          <w:sdtPr>
            <w:rPr>
              <w:rFonts w:cs="Times New Roman"/>
              <w:szCs w:val="24"/>
            </w:rPr>
            <w:alias w:val="BA Version"/>
            <w:tag w:val="BAVersion"/>
            <w:id w:val="-1685590809"/>
            <w:lock w:val="sdtContentLocked"/>
            <w:placeholder>
              <w:docPart w:val="57DF32C4222E45DFA1A3BB4654F7D709"/>
            </w:placeholder>
          </w:sdtPr>
          <w:sdtContent>
            <w:tc>
              <w:tcPr>
                <w:tcW w:w="6858" w:type="dxa"/>
              </w:tcPr>
              <w:p w:rsidR="002E61AC" w:rsidRPr="00FF6471" w:rsidRDefault="002E61AC" w:rsidP="000F1DF9">
                <w:pPr>
                  <w:jc w:val="right"/>
                  <w:rPr>
                    <w:rFonts w:cs="Times New Roman"/>
                    <w:szCs w:val="24"/>
                  </w:rPr>
                </w:pPr>
                <w:r>
                  <w:rPr>
                    <w:rFonts w:cs="Times New Roman"/>
                    <w:szCs w:val="24"/>
                  </w:rPr>
                  <w:t>As Filed</w:t>
                </w:r>
              </w:p>
            </w:tc>
          </w:sdtContent>
        </w:sdt>
      </w:tr>
    </w:tbl>
    <w:p w:rsidR="002E61AC" w:rsidRPr="00FF6471" w:rsidRDefault="002E61AC" w:rsidP="000F1DF9">
      <w:pPr>
        <w:spacing w:after="0" w:line="240" w:lineRule="auto"/>
        <w:rPr>
          <w:rFonts w:cs="Times New Roman"/>
          <w:szCs w:val="24"/>
        </w:rPr>
      </w:pPr>
    </w:p>
    <w:p w:rsidR="002E61AC" w:rsidRPr="00FF6471" w:rsidRDefault="002E61AC" w:rsidP="000F1DF9">
      <w:pPr>
        <w:spacing w:after="0" w:line="240" w:lineRule="auto"/>
        <w:rPr>
          <w:rFonts w:cs="Times New Roman"/>
          <w:szCs w:val="24"/>
        </w:rPr>
      </w:pPr>
    </w:p>
    <w:p w:rsidR="002E61AC" w:rsidRPr="00FF6471" w:rsidRDefault="002E61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1FC154D8FE54A26B20471889AA7343B"/>
        </w:placeholder>
      </w:sdtPr>
      <w:sdtContent>
        <w:p w:rsidR="002E61AC" w:rsidRDefault="002E61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28649F096849BA90C9BAE86475EFC3"/>
        </w:placeholder>
      </w:sdtPr>
      <w:sdtContent>
        <w:p w:rsidR="002E61AC" w:rsidRDefault="002E61AC" w:rsidP="00BD0886">
          <w:pPr>
            <w:pStyle w:val="NormalWeb"/>
            <w:spacing w:before="0" w:beforeAutospacing="0" w:after="0" w:afterAutospacing="0"/>
            <w:jc w:val="both"/>
            <w:divId w:val="223609378"/>
            <w:rPr>
              <w:rFonts w:eastAsia="Times New Roman"/>
              <w:bCs/>
            </w:rPr>
          </w:pPr>
        </w:p>
        <w:p w:rsidR="002E61AC" w:rsidRDefault="002E61AC" w:rsidP="00BD0886">
          <w:pPr>
            <w:pStyle w:val="NormalWeb"/>
            <w:spacing w:before="0" w:beforeAutospacing="0" w:after="0" w:afterAutospacing="0"/>
            <w:jc w:val="both"/>
            <w:divId w:val="223609378"/>
            <w:rPr>
              <w:color w:val="000000"/>
            </w:rPr>
          </w:pPr>
          <w:r w:rsidRPr="001541D1">
            <w:rPr>
              <w:color w:val="000000"/>
            </w:rPr>
            <w:t>On November 5, 1991, Texas voters approved an amendment that added a new provision, Article III, Section 24a, to the Texas Constitution. The constitutional amendment created the Texas Ethics Commission (TEC). The Texas Constitution provides that the TEC may recommend the salary of m</w:t>
          </w:r>
          <w:r>
            <w:rPr>
              <w:color w:val="000000"/>
            </w:rPr>
            <w:t>embers of the legislature, the lieutenant governor, and the speaker of the house of r</w:t>
          </w:r>
          <w:r w:rsidRPr="001541D1">
            <w:rPr>
              <w:color w:val="000000"/>
            </w:rPr>
            <w:t xml:space="preserve">epresentatives, subject to approval by the voters at the subsequent general election for state </w:t>
          </w:r>
          <w:r>
            <w:rPr>
              <w:color w:val="000000"/>
            </w:rPr>
            <w:t>and county officers. Also, the c</w:t>
          </w:r>
          <w:r w:rsidRPr="001541D1">
            <w:rPr>
              <w:color w:val="000000"/>
            </w:rPr>
            <w:t xml:space="preserve">ommission must set </w:t>
          </w:r>
          <w:r>
            <w:rPr>
              <w:color w:val="000000"/>
            </w:rPr>
            <w:t>the per diem of members of the legislature and of the lieutenant governor. The l</w:t>
          </w:r>
          <w:r w:rsidRPr="001541D1">
            <w:rPr>
              <w:color w:val="000000"/>
            </w:rPr>
            <w:t xml:space="preserve">egislature is to determine the </w:t>
          </w:r>
          <w:r>
            <w:rPr>
              <w:color w:val="000000"/>
            </w:rPr>
            <w:t>other powers and duties of the c</w:t>
          </w:r>
          <w:r w:rsidRPr="001541D1">
            <w:rPr>
              <w:color w:val="000000"/>
            </w:rPr>
            <w:t>ommission.</w:t>
          </w:r>
        </w:p>
        <w:p w:rsidR="002E61AC" w:rsidRPr="001541D1" w:rsidRDefault="002E61AC" w:rsidP="00BD0886">
          <w:pPr>
            <w:pStyle w:val="NormalWeb"/>
            <w:spacing w:before="0" w:beforeAutospacing="0" w:after="0" w:afterAutospacing="0"/>
            <w:jc w:val="both"/>
            <w:divId w:val="223609378"/>
            <w:rPr>
              <w:color w:val="000000"/>
            </w:rPr>
          </w:pPr>
        </w:p>
        <w:p w:rsidR="002E61AC" w:rsidRDefault="002E61AC" w:rsidP="00BD0886">
          <w:pPr>
            <w:pStyle w:val="NormalWeb"/>
            <w:spacing w:before="0" w:beforeAutospacing="0" w:after="0" w:afterAutospacing="0"/>
            <w:jc w:val="both"/>
            <w:divId w:val="223609378"/>
            <w:rPr>
              <w:color w:val="000000"/>
            </w:rPr>
          </w:pPr>
          <w:r>
            <w:rPr>
              <w:color w:val="000000"/>
            </w:rPr>
            <w:t>S.B.</w:t>
          </w:r>
          <w:r w:rsidRPr="001541D1">
            <w:rPr>
              <w:color w:val="000000"/>
            </w:rPr>
            <w:t xml:space="preserve"> 612 seeks to implement several nec</w:t>
          </w:r>
          <w:r>
            <w:rPr>
              <w:color w:val="000000"/>
            </w:rPr>
            <w:t>essary reforms at the TEC. The l</w:t>
          </w:r>
          <w:r w:rsidRPr="001541D1">
            <w:rPr>
              <w:color w:val="000000"/>
            </w:rPr>
            <w:t>egislature determines the powers and duties of the TEC, and the intent of S</w:t>
          </w:r>
          <w:r>
            <w:rPr>
              <w:color w:val="000000"/>
            </w:rPr>
            <w:t>.</w:t>
          </w:r>
          <w:r w:rsidRPr="001541D1">
            <w:rPr>
              <w:color w:val="000000"/>
            </w:rPr>
            <w:t>B</w:t>
          </w:r>
          <w:r>
            <w:rPr>
              <w:color w:val="000000"/>
            </w:rPr>
            <w:t>.</w:t>
          </w:r>
          <w:r w:rsidRPr="001541D1">
            <w:rPr>
              <w:color w:val="000000"/>
            </w:rPr>
            <w:t xml:space="preserve"> 612 is to provide the TEC with clear direction on how to carry out these duties and to help ensure elected officials and political action committees are in compliance with the laws passed by</w:t>
          </w:r>
          <w:r>
            <w:rPr>
              <w:color w:val="000000"/>
            </w:rPr>
            <w:t xml:space="preserve"> the l</w:t>
          </w:r>
          <w:r w:rsidRPr="001541D1">
            <w:rPr>
              <w:color w:val="000000"/>
            </w:rPr>
            <w:t>egislature, as well as providing a due process standard to protect those against whom a complaint is filed.</w:t>
          </w:r>
        </w:p>
        <w:p w:rsidR="002E61AC" w:rsidRPr="001541D1" w:rsidRDefault="002E61AC" w:rsidP="00BD0886">
          <w:pPr>
            <w:pStyle w:val="NormalWeb"/>
            <w:spacing w:before="0" w:beforeAutospacing="0" w:after="0" w:afterAutospacing="0"/>
            <w:jc w:val="both"/>
            <w:divId w:val="223609378"/>
            <w:rPr>
              <w:color w:val="000000"/>
            </w:rPr>
          </w:pPr>
        </w:p>
        <w:p w:rsidR="002E61AC" w:rsidRDefault="002E61AC" w:rsidP="00BD0886">
          <w:pPr>
            <w:pStyle w:val="NormalWeb"/>
            <w:spacing w:before="0" w:beforeAutospacing="0" w:after="0" w:afterAutospacing="0"/>
            <w:jc w:val="both"/>
            <w:divId w:val="223609378"/>
            <w:rPr>
              <w:color w:val="000000"/>
            </w:rPr>
          </w:pPr>
          <w:r w:rsidRPr="001541D1">
            <w:rPr>
              <w:color w:val="000000"/>
            </w:rPr>
            <w:t xml:space="preserve">PROVISIONS </w:t>
          </w:r>
        </w:p>
        <w:p w:rsidR="002E61AC" w:rsidRPr="001541D1" w:rsidRDefault="002E61AC" w:rsidP="00BD0886">
          <w:pPr>
            <w:pStyle w:val="NormalWeb"/>
            <w:spacing w:before="0" w:beforeAutospacing="0" w:after="0" w:afterAutospacing="0"/>
            <w:jc w:val="both"/>
            <w:divId w:val="223609378"/>
            <w:rPr>
              <w:color w:val="000000"/>
            </w:rPr>
          </w:pPr>
        </w:p>
        <w:p w:rsidR="002E61AC" w:rsidRDefault="002E61AC" w:rsidP="00BD0886">
          <w:pPr>
            <w:pStyle w:val="NormalWeb"/>
            <w:spacing w:before="0" w:beforeAutospacing="0" w:after="0" w:afterAutospacing="0"/>
            <w:jc w:val="both"/>
            <w:divId w:val="223609378"/>
            <w:rPr>
              <w:color w:val="000000"/>
            </w:rPr>
          </w:pPr>
          <w:r w:rsidRPr="001541D1">
            <w:rPr>
              <w:color w:val="000000"/>
            </w:rPr>
            <w:t>Filing Errors</w:t>
          </w:r>
          <w:r>
            <w:rPr>
              <w:color w:val="000000"/>
            </w:rPr>
            <w:t>:</w:t>
          </w:r>
          <w:r w:rsidRPr="001541D1">
            <w:rPr>
              <w:color w:val="000000"/>
            </w:rPr>
            <w:t xml:space="preserve"> Allows for a statement, registration, or report to be corrected or amended within a 14</w:t>
          </w:r>
          <w:r>
            <w:rPr>
              <w:color w:val="000000"/>
            </w:rPr>
            <w:t>-</w:t>
          </w:r>
          <w:r w:rsidRPr="001541D1">
            <w:rPr>
              <w:color w:val="000000"/>
            </w:rPr>
            <w:t xml:space="preserve">day period without a late filing penalty regardless of whether the filee or another person has filed a sworn complaint pertaining to the statement. </w:t>
          </w:r>
        </w:p>
        <w:p w:rsidR="002E61AC" w:rsidRPr="001541D1" w:rsidRDefault="002E61AC" w:rsidP="00BD0886">
          <w:pPr>
            <w:pStyle w:val="NormalWeb"/>
            <w:spacing w:before="0" w:beforeAutospacing="0" w:after="0" w:afterAutospacing="0"/>
            <w:jc w:val="both"/>
            <w:divId w:val="223609378"/>
            <w:rPr>
              <w:color w:val="000000"/>
            </w:rPr>
          </w:pPr>
        </w:p>
        <w:p w:rsidR="002E61AC" w:rsidRDefault="002E61AC" w:rsidP="00BD0886">
          <w:pPr>
            <w:pStyle w:val="NormalWeb"/>
            <w:spacing w:before="0" w:beforeAutospacing="0" w:after="0" w:afterAutospacing="0"/>
            <w:jc w:val="both"/>
            <w:divId w:val="223609378"/>
            <w:rPr>
              <w:color w:val="000000"/>
            </w:rPr>
          </w:pPr>
          <w:r w:rsidRPr="001541D1">
            <w:rPr>
              <w:color w:val="000000"/>
            </w:rPr>
            <w:t>Jurisdiction</w:t>
          </w:r>
          <w:r>
            <w:rPr>
              <w:color w:val="000000"/>
            </w:rPr>
            <w:t xml:space="preserve">: </w:t>
          </w:r>
          <w:r w:rsidRPr="001541D1">
            <w:rPr>
              <w:color w:val="000000"/>
            </w:rPr>
            <w:t xml:space="preserve">Requires </w:t>
          </w:r>
          <w:r>
            <w:rPr>
              <w:color w:val="000000"/>
            </w:rPr>
            <w:t>TEC,</w:t>
          </w:r>
          <w:r w:rsidRPr="001541D1">
            <w:rPr>
              <w:color w:val="000000"/>
            </w:rPr>
            <w:t xml:space="preserve"> rather than the executive director</w:t>
          </w:r>
          <w:r>
            <w:rPr>
              <w:color w:val="000000"/>
            </w:rPr>
            <w:t>,</w:t>
          </w:r>
          <w:r w:rsidRPr="001541D1">
            <w:rPr>
              <w:color w:val="000000"/>
            </w:rPr>
            <w:t xml:space="preserve"> to decide on jurisdiction. </w:t>
          </w:r>
          <w:r>
            <w:rPr>
              <w:color w:val="000000"/>
            </w:rPr>
            <w:t xml:space="preserve"> </w:t>
          </w:r>
        </w:p>
        <w:p w:rsidR="002E61AC" w:rsidRDefault="002E61AC" w:rsidP="00BD0886">
          <w:pPr>
            <w:pStyle w:val="NormalWeb"/>
            <w:spacing w:before="0" w:beforeAutospacing="0" w:after="0" w:afterAutospacing="0"/>
            <w:jc w:val="both"/>
            <w:divId w:val="223609378"/>
            <w:rPr>
              <w:color w:val="000000"/>
            </w:rPr>
          </w:pPr>
        </w:p>
        <w:p w:rsidR="002E61AC" w:rsidRDefault="002E61AC" w:rsidP="00BD0886">
          <w:pPr>
            <w:pStyle w:val="NormalWeb"/>
            <w:spacing w:before="0" w:beforeAutospacing="0" w:after="0" w:afterAutospacing="0"/>
            <w:jc w:val="both"/>
            <w:divId w:val="223609378"/>
            <w:rPr>
              <w:color w:val="000000"/>
            </w:rPr>
          </w:pPr>
          <w:r w:rsidRPr="001541D1">
            <w:rPr>
              <w:color w:val="000000"/>
            </w:rPr>
            <w:t xml:space="preserve">Allows for either the respondent or the complainant to, within 30 days, file a challenge to the jurisdiction of </w:t>
          </w:r>
          <w:r>
            <w:rPr>
              <w:color w:val="000000"/>
            </w:rPr>
            <w:t>TEC</w:t>
          </w:r>
          <w:r w:rsidRPr="001541D1">
            <w:rPr>
              <w:color w:val="000000"/>
            </w:rPr>
            <w:t xml:space="preserve"> which must be ruled on by </w:t>
          </w:r>
          <w:r>
            <w:rPr>
              <w:color w:val="000000"/>
            </w:rPr>
            <w:t>TEC</w:t>
          </w:r>
          <w:r w:rsidRPr="001541D1">
            <w:rPr>
              <w:color w:val="000000"/>
            </w:rPr>
            <w:t xml:space="preserve"> within 30 days.</w:t>
          </w:r>
        </w:p>
        <w:p w:rsidR="002E61AC" w:rsidRPr="001541D1" w:rsidRDefault="002E61AC" w:rsidP="00BD0886">
          <w:pPr>
            <w:pStyle w:val="NormalWeb"/>
            <w:spacing w:before="0" w:beforeAutospacing="0" w:after="0" w:afterAutospacing="0"/>
            <w:jc w:val="both"/>
            <w:divId w:val="223609378"/>
            <w:rPr>
              <w:color w:val="000000"/>
            </w:rPr>
          </w:pPr>
        </w:p>
        <w:p w:rsidR="002E61AC" w:rsidRDefault="002E61AC" w:rsidP="00BD0886">
          <w:pPr>
            <w:pStyle w:val="NormalWeb"/>
            <w:spacing w:before="0" w:beforeAutospacing="0" w:after="0" w:afterAutospacing="0"/>
            <w:jc w:val="both"/>
            <w:divId w:val="223609378"/>
            <w:rPr>
              <w:color w:val="000000"/>
            </w:rPr>
          </w:pPr>
          <w:r w:rsidRPr="001541D1">
            <w:rPr>
              <w:color w:val="000000"/>
            </w:rPr>
            <w:t>Respondent Ability to Subpoena</w:t>
          </w:r>
          <w:r>
            <w:rPr>
              <w:color w:val="000000"/>
            </w:rPr>
            <w:t xml:space="preserve">: </w:t>
          </w:r>
          <w:r w:rsidRPr="001541D1">
            <w:rPr>
              <w:color w:val="000000"/>
            </w:rPr>
            <w:t>Allows respondent, through counsel and in accordance with the rules of civil procedure, to subpoena witnesses to appear at a preliminary review hearing.</w:t>
          </w:r>
          <w:r>
            <w:rPr>
              <w:color w:val="000000"/>
            </w:rPr>
            <w:t xml:space="preserve"> </w:t>
          </w:r>
        </w:p>
        <w:p w:rsidR="002E61AC" w:rsidRDefault="002E61AC" w:rsidP="00BD0886">
          <w:pPr>
            <w:pStyle w:val="NormalWeb"/>
            <w:spacing w:before="0" w:beforeAutospacing="0" w:after="0" w:afterAutospacing="0"/>
            <w:jc w:val="both"/>
            <w:divId w:val="223609378"/>
            <w:rPr>
              <w:color w:val="000000"/>
            </w:rPr>
          </w:pPr>
        </w:p>
        <w:p w:rsidR="002E61AC" w:rsidRDefault="002E61AC" w:rsidP="00BD0886">
          <w:pPr>
            <w:pStyle w:val="NormalWeb"/>
            <w:spacing w:before="0" w:beforeAutospacing="0" w:after="0" w:afterAutospacing="0"/>
            <w:jc w:val="both"/>
            <w:divId w:val="223609378"/>
            <w:rPr>
              <w:color w:val="000000"/>
            </w:rPr>
          </w:pPr>
          <w:r w:rsidRPr="001541D1">
            <w:rPr>
              <w:color w:val="000000"/>
            </w:rPr>
            <w:t>Allows respondent, through counsel and in accordance with the Texas Rules of Civil Procedure, to subpoena witnesses to appear at a formal hearing.</w:t>
          </w:r>
        </w:p>
        <w:p w:rsidR="002E61AC" w:rsidRPr="001541D1" w:rsidRDefault="002E61AC" w:rsidP="00BD0886">
          <w:pPr>
            <w:pStyle w:val="NormalWeb"/>
            <w:spacing w:before="0" w:beforeAutospacing="0" w:after="0" w:afterAutospacing="0"/>
            <w:jc w:val="both"/>
            <w:divId w:val="223609378"/>
            <w:rPr>
              <w:color w:val="000000"/>
            </w:rPr>
          </w:pPr>
        </w:p>
        <w:p w:rsidR="002E61AC" w:rsidRPr="001541D1" w:rsidRDefault="002E61AC" w:rsidP="00BD0886">
          <w:pPr>
            <w:pStyle w:val="NormalWeb"/>
            <w:spacing w:before="0" w:beforeAutospacing="0" w:after="0" w:afterAutospacing="0"/>
            <w:jc w:val="both"/>
            <w:divId w:val="223609378"/>
            <w:rPr>
              <w:color w:val="000000"/>
            </w:rPr>
          </w:pPr>
          <w:r w:rsidRPr="001541D1">
            <w:rPr>
              <w:color w:val="000000"/>
            </w:rPr>
            <w:t>Speedy Tr</w:t>
          </w:r>
          <w:r>
            <w:rPr>
              <w:color w:val="000000"/>
            </w:rPr>
            <w:t>ia</w:t>
          </w:r>
          <w:r w:rsidRPr="001541D1">
            <w:rPr>
              <w:color w:val="000000"/>
            </w:rPr>
            <w:t>l</w:t>
          </w:r>
          <w:r>
            <w:rPr>
              <w:color w:val="000000"/>
            </w:rPr>
            <w:t xml:space="preserve">: </w:t>
          </w:r>
          <w:r w:rsidRPr="001541D1">
            <w:rPr>
              <w:color w:val="000000"/>
            </w:rPr>
            <w:t xml:space="preserve">Requires </w:t>
          </w:r>
          <w:r>
            <w:rPr>
              <w:color w:val="000000"/>
            </w:rPr>
            <w:t>TEC</w:t>
          </w:r>
          <w:r w:rsidRPr="001541D1">
            <w:rPr>
              <w:color w:val="000000"/>
            </w:rPr>
            <w:t xml:space="preserve"> to finally adjudicate a complaint processed as a category 1 violation within 12 months and a complaint processed as a category 2 violation within 18 months.</w:t>
          </w:r>
        </w:p>
        <w:p w:rsidR="002E61AC" w:rsidRPr="00D70925" w:rsidRDefault="002E61AC" w:rsidP="00BD0886">
          <w:pPr>
            <w:spacing w:after="0" w:line="240" w:lineRule="auto"/>
            <w:jc w:val="both"/>
            <w:rPr>
              <w:rFonts w:eastAsia="Times New Roman" w:cs="Times New Roman"/>
              <w:bCs/>
              <w:szCs w:val="24"/>
            </w:rPr>
          </w:pPr>
        </w:p>
      </w:sdtContent>
    </w:sdt>
    <w:p w:rsidR="002E61AC" w:rsidRDefault="002E61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612 </w:t>
      </w:r>
      <w:bookmarkStart w:id="1" w:name="AmendsCurrentLaw"/>
      <w:bookmarkEnd w:id="1"/>
      <w:r>
        <w:rPr>
          <w:rFonts w:cs="Times New Roman"/>
          <w:szCs w:val="24"/>
        </w:rPr>
        <w:t>amends current law relating to complaints filed with the Texas Ethics Commission.</w:t>
      </w:r>
    </w:p>
    <w:p w:rsidR="002E61AC" w:rsidRPr="001541D1" w:rsidRDefault="002E61AC" w:rsidP="000F1DF9">
      <w:pPr>
        <w:spacing w:after="0" w:line="240" w:lineRule="auto"/>
        <w:jc w:val="both"/>
        <w:rPr>
          <w:rFonts w:eastAsia="Times New Roman" w:cs="Times New Roman"/>
          <w:szCs w:val="24"/>
        </w:rPr>
      </w:pPr>
    </w:p>
    <w:p w:rsidR="002E61AC" w:rsidRPr="005C2A78" w:rsidRDefault="002E61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475D94D4D64CC490B549F79B94E88B"/>
          </w:placeholder>
        </w:sdtPr>
        <w:sdtContent>
          <w:r>
            <w:rPr>
              <w:rFonts w:eastAsia="Times New Roman" w:cs="Times New Roman"/>
              <w:b/>
              <w:szCs w:val="24"/>
              <w:u w:val="single"/>
            </w:rPr>
            <w:t>RULEMAKING AUTHORITY</w:t>
          </w:r>
        </w:sdtContent>
      </w:sdt>
    </w:p>
    <w:p w:rsidR="002E61AC" w:rsidRPr="006529C4" w:rsidRDefault="002E61AC" w:rsidP="00774EC7">
      <w:pPr>
        <w:spacing w:after="0" w:line="240" w:lineRule="auto"/>
        <w:jc w:val="both"/>
        <w:rPr>
          <w:rFonts w:cs="Times New Roman"/>
          <w:szCs w:val="24"/>
        </w:rPr>
      </w:pPr>
    </w:p>
    <w:p w:rsidR="002E61AC" w:rsidRPr="006529C4" w:rsidRDefault="002E61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E61AC" w:rsidRPr="006529C4" w:rsidRDefault="002E61AC" w:rsidP="00774EC7">
      <w:pPr>
        <w:spacing w:after="0" w:line="240" w:lineRule="auto"/>
        <w:jc w:val="both"/>
        <w:rPr>
          <w:rFonts w:cs="Times New Roman"/>
          <w:szCs w:val="24"/>
        </w:rPr>
      </w:pPr>
    </w:p>
    <w:p w:rsidR="002E61AC" w:rsidRPr="005C2A78" w:rsidRDefault="002E61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1EBF36903645D9B0C04D85910BA75A"/>
          </w:placeholder>
        </w:sdtPr>
        <w:sdtContent>
          <w:r>
            <w:rPr>
              <w:rFonts w:eastAsia="Times New Roman" w:cs="Times New Roman"/>
              <w:b/>
              <w:szCs w:val="24"/>
              <w:u w:val="single"/>
            </w:rPr>
            <w:t>SECTION BY SECTION ANALYSIS</w:t>
          </w:r>
        </w:sdtContent>
      </w:sdt>
    </w:p>
    <w:p w:rsidR="002E61AC" w:rsidRPr="005C2A78" w:rsidRDefault="002E61AC" w:rsidP="000F1DF9">
      <w:pPr>
        <w:spacing w:after="0" w:line="240" w:lineRule="auto"/>
        <w:jc w:val="both"/>
        <w:rPr>
          <w:rFonts w:eastAsia="Times New Roman" w:cs="Times New Roman"/>
          <w:szCs w:val="24"/>
        </w:rPr>
      </w:pPr>
    </w:p>
    <w:p w:rsidR="002E61AC" w:rsidRPr="005C2A78" w:rsidRDefault="002E61AC" w:rsidP="00BD088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571.0771, Government Code, by adding Subsection (d), to provide that Subsection (a) applies to a statement filed under Chapter 572 (Personal Financial Disclosure, Standards of Conduct, and Conflict of Interest) regardless of whether another person has filed a sworn complaint pertaining to the statement.</w:t>
      </w:r>
    </w:p>
    <w:p w:rsidR="002E61AC" w:rsidRPr="005C2A78" w:rsidRDefault="002E61AC" w:rsidP="000F1DF9">
      <w:pPr>
        <w:spacing w:after="0" w:line="240" w:lineRule="auto"/>
        <w:jc w:val="both"/>
        <w:rPr>
          <w:rFonts w:eastAsia="Times New Roman" w:cs="Times New Roman"/>
          <w:szCs w:val="24"/>
        </w:rPr>
      </w:pPr>
    </w:p>
    <w:p w:rsidR="002E61AC" w:rsidRDefault="002E61A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571.124(c), (e), and (f), Government Code, as follows:</w:t>
      </w:r>
    </w:p>
    <w:p w:rsidR="002E61AC" w:rsidRDefault="002E61AC" w:rsidP="000F1DF9">
      <w:pPr>
        <w:spacing w:after="0" w:line="240" w:lineRule="auto"/>
        <w:jc w:val="both"/>
        <w:rPr>
          <w:rFonts w:eastAsia="Times New Roman" w:cs="Times New Roman"/>
          <w:szCs w:val="24"/>
        </w:rPr>
      </w:pPr>
    </w:p>
    <w:p w:rsidR="002E61AC" w:rsidRDefault="002E61AC" w:rsidP="001F57F6">
      <w:pPr>
        <w:spacing w:after="0" w:line="240" w:lineRule="auto"/>
        <w:ind w:left="720"/>
        <w:jc w:val="both"/>
        <w:rPr>
          <w:rFonts w:eastAsia="Times New Roman" w:cs="Times New Roman"/>
          <w:szCs w:val="24"/>
        </w:rPr>
      </w:pPr>
      <w:r>
        <w:rPr>
          <w:rFonts w:eastAsia="Times New Roman" w:cs="Times New Roman"/>
          <w:szCs w:val="24"/>
        </w:rPr>
        <w:t>(c) Requires the Texas Ethics Commission (TEC), rather than the executive director, to determine in writing whether TEC has jurisdiction over the violation of law alleged in a sworn complaint processed under Section 571.123</w:t>
      </w:r>
    </w:p>
    <w:p w:rsidR="002E61AC" w:rsidRDefault="002E61AC" w:rsidP="000F1DF9">
      <w:pPr>
        <w:spacing w:after="0" w:line="240" w:lineRule="auto"/>
        <w:jc w:val="both"/>
        <w:rPr>
          <w:rFonts w:eastAsia="Times New Roman" w:cs="Times New Roman"/>
          <w:szCs w:val="24"/>
        </w:rPr>
      </w:pPr>
    </w:p>
    <w:p w:rsidR="002E61AC" w:rsidRDefault="002E61AC" w:rsidP="001541D1">
      <w:pPr>
        <w:spacing w:after="0" w:line="240" w:lineRule="auto"/>
        <w:ind w:left="720"/>
        <w:jc w:val="both"/>
        <w:rPr>
          <w:rFonts w:eastAsia="Times New Roman" w:cs="Times New Roman"/>
          <w:szCs w:val="24"/>
        </w:rPr>
      </w:pPr>
      <w:r>
        <w:rPr>
          <w:rFonts w:eastAsia="Times New Roman" w:cs="Times New Roman"/>
          <w:szCs w:val="24"/>
        </w:rPr>
        <w:t>(e) Requires</w:t>
      </w:r>
      <w:r w:rsidRPr="002E61AC">
        <w:rPr>
          <w:rFonts w:eastAsia="Times New Roman" w:cs="Times New Roman"/>
          <w:szCs w:val="24"/>
        </w:rPr>
        <w:t xml:space="preserve"> </w:t>
      </w:r>
      <w:r>
        <w:rPr>
          <w:rFonts w:eastAsia="Times New Roman" w:cs="Times New Roman"/>
          <w:szCs w:val="24"/>
        </w:rPr>
        <w:t>the notice under Section 571.123(b)</w:t>
      </w:r>
      <w:r>
        <w:rPr>
          <w:rFonts w:eastAsia="Times New Roman" w:cs="Times New Roman"/>
          <w:szCs w:val="24"/>
        </w:rPr>
        <w:t>, if TEC determines that the commission has jurisdiction, to include certain statements and information for the respondent. Makes a conforming change.</w:t>
      </w:r>
    </w:p>
    <w:p w:rsidR="002E61AC" w:rsidRDefault="002E61AC" w:rsidP="001541D1">
      <w:pPr>
        <w:spacing w:after="0" w:line="240" w:lineRule="auto"/>
        <w:ind w:left="720"/>
        <w:jc w:val="both"/>
        <w:rPr>
          <w:rFonts w:eastAsia="Times New Roman" w:cs="Times New Roman"/>
          <w:szCs w:val="24"/>
        </w:rPr>
      </w:pPr>
    </w:p>
    <w:p w:rsidR="002E61AC" w:rsidRDefault="002E61AC" w:rsidP="001541D1">
      <w:pPr>
        <w:spacing w:after="0" w:line="240" w:lineRule="auto"/>
        <w:ind w:left="720"/>
        <w:jc w:val="both"/>
        <w:rPr>
          <w:rFonts w:eastAsia="Times New Roman" w:cs="Times New Roman"/>
          <w:szCs w:val="24"/>
        </w:rPr>
      </w:pPr>
      <w:r>
        <w:rPr>
          <w:rFonts w:eastAsia="Times New Roman" w:cs="Times New Roman"/>
          <w:szCs w:val="24"/>
        </w:rPr>
        <w:t>(f) Requires that TEC, rather than the executive director, if TEC, rather than the executive director, determines that TEC does not have jurisdiction over the violation alleged in the complaint, to:</w:t>
      </w:r>
    </w:p>
    <w:p w:rsidR="002E61AC" w:rsidRDefault="002E61AC" w:rsidP="001541D1">
      <w:pPr>
        <w:spacing w:after="0" w:line="240" w:lineRule="auto"/>
        <w:ind w:left="720"/>
        <w:jc w:val="both"/>
        <w:rPr>
          <w:rFonts w:eastAsia="Times New Roman" w:cs="Times New Roman"/>
          <w:szCs w:val="24"/>
        </w:rPr>
      </w:pPr>
    </w:p>
    <w:p w:rsidR="002E61AC" w:rsidRPr="001541D1" w:rsidRDefault="002E61AC" w:rsidP="001541D1">
      <w:pPr>
        <w:pStyle w:val="ListParagraph"/>
        <w:numPr>
          <w:ilvl w:val="0"/>
          <w:numId w:val="1"/>
        </w:numPr>
        <w:spacing w:after="0" w:line="240" w:lineRule="auto"/>
        <w:jc w:val="both"/>
        <w:rPr>
          <w:rFonts w:eastAsia="Times New Roman" w:cs="Times New Roman"/>
          <w:szCs w:val="24"/>
        </w:rPr>
      </w:pPr>
      <w:r w:rsidRPr="001541D1">
        <w:rPr>
          <w:rFonts w:eastAsia="Times New Roman" w:cs="Times New Roman"/>
          <w:szCs w:val="24"/>
        </w:rPr>
        <w:t>dismiss the complaint, and;</w:t>
      </w:r>
    </w:p>
    <w:p w:rsidR="002E61AC" w:rsidRDefault="002E61AC" w:rsidP="001541D1">
      <w:pPr>
        <w:pStyle w:val="ListParagraph"/>
        <w:spacing w:after="0" w:line="240" w:lineRule="auto"/>
        <w:ind w:left="1800"/>
        <w:jc w:val="both"/>
        <w:rPr>
          <w:rFonts w:eastAsia="Times New Roman" w:cs="Times New Roman"/>
          <w:szCs w:val="24"/>
        </w:rPr>
      </w:pPr>
    </w:p>
    <w:p w:rsidR="002E61AC" w:rsidRPr="001541D1" w:rsidRDefault="002E61AC" w:rsidP="001541D1">
      <w:pPr>
        <w:pStyle w:val="ListParagraph"/>
        <w:numPr>
          <w:ilvl w:val="0"/>
          <w:numId w:val="1"/>
        </w:numPr>
        <w:tabs>
          <w:tab w:val="left" w:pos="1800"/>
        </w:tabs>
        <w:spacing w:after="0" w:line="240" w:lineRule="auto"/>
        <w:ind w:left="1440" w:firstLine="0"/>
        <w:jc w:val="both"/>
        <w:rPr>
          <w:rFonts w:eastAsia="Times New Roman" w:cs="Times New Roman"/>
          <w:szCs w:val="24"/>
        </w:rPr>
      </w:pPr>
      <w:r w:rsidRPr="001541D1">
        <w:rPr>
          <w:rFonts w:eastAsia="Times New Roman" w:cs="Times New Roman"/>
          <w:szCs w:val="24"/>
        </w:rPr>
        <w:t xml:space="preserve">not later than the fifth business day after the date of dismissal, send </w:t>
      </w:r>
      <w:r>
        <w:rPr>
          <w:rFonts w:eastAsia="Times New Roman" w:cs="Times New Roman"/>
          <w:szCs w:val="24"/>
        </w:rPr>
        <w:t xml:space="preserve">to </w:t>
      </w:r>
      <w:r w:rsidRPr="001541D1">
        <w:rPr>
          <w:rFonts w:eastAsia="Times New Roman" w:cs="Times New Roman"/>
          <w:szCs w:val="24"/>
        </w:rPr>
        <w:t xml:space="preserve">the </w:t>
      </w:r>
      <w:r>
        <w:rPr>
          <w:rFonts w:eastAsia="Times New Roman" w:cs="Times New Roman"/>
          <w:szCs w:val="24"/>
        </w:rPr>
        <w:t>complainant and</w:t>
      </w:r>
      <w:r w:rsidRPr="001541D1">
        <w:rPr>
          <w:rFonts w:eastAsia="Times New Roman" w:cs="Times New Roman"/>
          <w:szCs w:val="24"/>
        </w:rPr>
        <w:t xml:space="preserve"> the respondent written notice of the dismissal and the grounds for the dismissal.</w:t>
      </w:r>
    </w:p>
    <w:p w:rsidR="002E61AC" w:rsidRPr="005C2A78" w:rsidRDefault="002E61AC" w:rsidP="000F1DF9">
      <w:pPr>
        <w:spacing w:after="0" w:line="240" w:lineRule="auto"/>
        <w:jc w:val="both"/>
        <w:rPr>
          <w:rFonts w:eastAsia="Times New Roman" w:cs="Times New Roman"/>
          <w:szCs w:val="24"/>
        </w:rPr>
      </w:pPr>
    </w:p>
    <w:p w:rsidR="002E61AC" w:rsidRDefault="002E61A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571.1241, Government Code, to read as follows: </w:t>
      </w:r>
    </w:p>
    <w:p w:rsidR="002E61AC" w:rsidRDefault="002E61AC" w:rsidP="000F1DF9">
      <w:pPr>
        <w:spacing w:after="0" w:line="240" w:lineRule="auto"/>
        <w:jc w:val="both"/>
        <w:rPr>
          <w:rFonts w:eastAsia="Times New Roman" w:cs="Times New Roman"/>
          <w:szCs w:val="24"/>
        </w:rPr>
      </w:pPr>
    </w:p>
    <w:p w:rsidR="002E61AC" w:rsidRDefault="002E61AC" w:rsidP="001541D1">
      <w:pPr>
        <w:spacing w:after="0" w:line="240" w:lineRule="auto"/>
        <w:ind w:left="720"/>
        <w:jc w:val="both"/>
        <w:rPr>
          <w:rFonts w:eastAsia="Times New Roman" w:cs="Times New Roman"/>
          <w:szCs w:val="24"/>
        </w:rPr>
      </w:pPr>
      <w:r>
        <w:rPr>
          <w:rFonts w:eastAsia="Times New Roman" w:cs="Times New Roman"/>
          <w:szCs w:val="24"/>
        </w:rPr>
        <w:t>Sec. 571.1241. REVIEW OF DETERMINATION OF NO JURISDICTION.</w:t>
      </w:r>
    </w:p>
    <w:p w:rsidR="002E61AC" w:rsidRDefault="002E61AC" w:rsidP="000F1DF9">
      <w:pPr>
        <w:spacing w:after="0" w:line="240" w:lineRule="auto"/>
        <w:jc w:val="both"/>
        <w:rPr>
          <w:rFonts w:eastAsia="Times New Roman" w:cs="Times New Roman"/>
          <w:szCs w:val="24"/>
        </w:rPr>
      </w:pPr>
    </w:p>
    <w:p w:rsidR="002E61AC" w:rsidRDefault="002E61AC" w:rsidP="000F1DF9">
      <w:pPr>
        <w:spacing w:after="0" w:line="240" w:lineRule="auto"/>
        <w:jc w:val="both"/>
        <w:rPr>
          <w:rFonts w:eastAsia="Times New Roman" w:cs="Times New Roman"/>
          <w:szCs w:val="24"/>
        </w:rPr>
      </w:pPr>
      <w:r>
        <w:rPr>
          <w:rFonts w:eastAsia="Times New Roman" w:cs="Times New Roman"/>
          <w:szCs w:val="24"/>
        </w:rPr>
        <w:t>SECTION 4. Amends Sections 571.1241(a) and (b), Government Code, as follows:</w:t>
      </w:r>
    </w:p>
    <w:p w:rsidR="002E61AC" w:rsidRDefault="002E61AC" w:rsidP="000F1DF9">
      <w:pPr>
        <w:spacing w:after="0" w:line="240" w:lineRule="auto"/>
        <w:jc w:val="both"/>
        <w:rPr>
          <w:rFonts w:eastAsia="Times New Roman" w:cs="Times New Roman"/>
          <w:szCs w:val="24"/>
        </w:rPr>
      </w:pPr>
    </w:p>
    <w:p w:rsidR="002E61AC" w:rsidRDefault="002E61AC" w:rsidP="001541D1">
      <w:pPr>
        <w:pStyle w:val="ListParagraph"/>
        <w:numPr>
          <w:ilvl w:val="0"/>
          <w:numId w:val="2"/>
        </w:numPr>
        <w:tabs>
          <w:tab w:val="left" w:pos="1080"/>
        </w:tabs>
        <w:spacing w:after="0" w:line="240" w:lineRule="auto"/>
        <w:ind w:left="720" w:firstLine="0"/>
        <w:jc w:val="both"/>
        <w:rPr>
          <w:rFonts w:eastAsia="Times New Roman" w:cs="Times New Roman"/>
          <w:szCs w:val="24"/>
        </w:rPr>
      </w:pPr>
      <w:r>
        <w:rPr>
          <w:rFonts w:eastAsia="Times New Roman" w:cs="Times New Roman"/>
          <w:szCs w:val="24"/>
        </w:rPr>
        <w:t>Authorizes the complainant or respondent to request that TEC review TEC’s determination under Section 571.124 of whether TEC has jurisdiction over the violation alleged in the complaint, rather than authorizing the complainant to request that TEC review the determination, if the executive director determines that TEC does not have jurisdiction over the violation alleged in the complaint. Provides that a request for review under this section must be filed not later than the 30</w:t>
      </w:r>
      <w:r w:rsidRPr="001541D1">
        <w:rPr>
          <w:rFonts w:eastAsia="Times New Roman" w:cs="Times New Roman"/>
          <w:szCs w:val="24"/>
          <w:vertAlign w:val="superscript"/>
        </w:rPr>
        <w:t>th</w:t>
      </w:r>
      <w:r>
        <w:rPr>
          <w:rFonts w:eastAsia="Times New Roman" w:cs="Times New Roman"/>
          <w:szCs w:val="24"/>
        </w:rPr>
        <w:t xml:space="preserve"> day after the date the complainant or respondent, rather than complainant, receives the determination. Requires TEC to review the determination made under Section 571.124 (Preliminary Review: Initiation) and determine whether TEC made the correct determination not later than the 30</w:t>
      </w:r>
      <w:r w:rsidRPr="001541D1">
        <w:rPr>
          <w:rFonts w:eastAsia="Times New Roman" w:cs="Times New Roman"/>
          <w:szCs w:val="24"/>
          <w:vertAlign w:val="superscript"/>
        </w:rPr>
        <w:t>th</w:t>
      </w:r>
      <w:r>
        <w:rPr>
          <w:rFonts w:eastAsia="Times New Roman" w:cs="Times New Roman"/>
          <w:szCs w:val="24"/>
        </w:rPr>
        <w:t xml:space="preserve"> day after TEC receives the request for review under this subsection. Makes conforming changes.</w:t>
      </w:r>
    </w:p>
    <w:p w:rsidR="002E61AC" w:rsidRDefault="002E61AC" w:rsidP="001541D1">
      <w:pPr>
        <w:pStyle w:val="ListParagraph"/>
        <w:spacing w:after="0" w:line="240" w:lineRule="auto"/>
        <w:ind w:left="1080"/>
        <w:jc w:val="both"/>
        <w:rPr>
          <w:rFonts w:eastAsia="Times New Roman" w:cs="Times New Roman"/>
          <w:szCs w:val="24"/>
        </w:rPr>
      </w:pPr>
      <w:r>
        <w:rPr>
          <w:rFonts w:eastAsia="Times New Roman" w:cs="Times New Roman"/>
          <w:szCs w:val="24"/>
        </w:rPr>
        <w:t xml:space="preserve"> </w:t>
      </w:r>
    </w:p>
    <w:p w:rsidR="002E61AC" w:rsidRPr="001541D1" w:rsidRDefault="002E61AC" w:rsidP="001541D1">
      <w:pPr>
        <w:pStyle w:val="ListParagraph"/>
        <w:numPr>
          <w:ilvl w:val="0"/>
          <w:numId w:val="2"/>
        </w:numPr>
        <w:spacing w:after="0" w:line="240" w:lineRule="auto"/>
        <w:jc w:val="both"/>
        <w:rPr>
          <w:rFonts w:eastAsia="Times New Roman" w:cs="Times New Roman"/>
          <w:szCs w:val="24"/>
        </w:rPr>
      </w:pPr>
      <w:r>
        <w:rPr>
          <w:rFonts w:eastAsia="Times New Roman" w:cs="Times New Roman"/>
          <w:szCs w:val="24"/>
        </w:rPr>
        <w:t>Makes conforming changes.</w:t>
      </w:r>
    </w:p>
    <w:p w:rsidR="002E61AC" w:rsidRDefault="002E61AC" w:rsidP="000F1DF9">
      <w:pPr>
        <w:spacing w:after="0" w:line="240" w:lineRule="auto"/>
        <w:jc w:val="both"/>
        <w:rPr>
          <w:rFonts w:eastAsia="Times New Roman" w:cs="Times New Roman"/>
          <w:szCs w:val="24"/>
        </w:rPr>
      </w:pPr>
    </w:p>
    <w:p w:rsidR="002E61AC" w:rsidRDefault="002E61AC" w:rsidP="000F1DF9">
      <w:pPr>
        <w:spacing w:after="0" w:line="240" w:lineRule="auto"/>
        <w:jc w:val="both"/>
        <w:rPr>
          <w:rFonts w:eastAsia="Times New Roman" w:cs="Times New Roman"/>
          <w:szCs w:val="24"/>
        </w:rPr>
      </w:pPr>
      <w:r>
        <w:rPr>
          <w:rFonts w:eastAsia="Times New Roman" w:cs="Times New Roman"/>
          <w:szCs w:val="24"/>
        </w:rPr>
        <w:t>SECTION 5. Amends Section 571.125, Government Code, by adding Subsection (f) to authorize counsel for the respondent to subpoena a witness to a preliminary review hearing in the same manner as an attorney may issue a subpoena in a proceeding in a county or district court.</w:t>
      </w:r>
    </w:p>
    <w:p w:rsidR="002E61AC" w:rsidRDefault="002E61AC" w:rsidP="000F1DF9">
      <w:pPr>
        <w:spacing w:after="0" w:line="240" w:lineRule="auto"/>
        <w:jc w:val="both"/>
        <w:rPr>
          <w:rFonts w:eastAsia="Times New Roman" w:cs="Times New Roman"/>
          <w:szCs w:val="24"/>
        </w:rPr>
      </w:pPr>
    </w:p>
    <w:p w:rsidR="002E61AC" w:rsidRDefault="002E61AC" w:rsidP="000F1DF9">
      <w:pPr>
        <w:spacing w:after="0" w:line="240" w:lineRule="auto"/>
        <w:jc w:val="both"/>
        <w:rPr>
          <w:rFonts w:eastAsia="Times New Roman" w:cs="Times New Roman"/>
          <w:szCs w:val="24"/>
        </w:rPr>
      </w:pPr>
      <w:r>
        <w:rPr>
          <w:rFonts w:eastAsia="Times New Roman" w:cs="Times New Roman"/>
          <w:szCs w:val="24"/>
        </w:rPr>
        <w:t>SECTION 6. Amends Section 571.130, Government Code, by adding Subsection (f) to authorize counsel for the respondent to subpoena a witness to a formal hearing in the same manner as an attorney may issue a subpoena in a proceeding in a county or district court.</w:t>
      </w:r>
    </w:p>
    <w:p w:rsidR="002E61AC" w:rsidRDefault="002E61AC" w:rsidP="000F1DF9">
      <w:pPr>
        <w:spacing w:after="0" w:line="240" w:lineRule="auto"/>
        <w:jc w:val="both"/>
        <w:rPr>
          <w:rFonts w:eastAsia="Times New Roman" w:cs="Times New Roman"/>
          <w:szCs w:val="24"/>
        </w:rPr>
      </w:pPr>
    </w:p>
    <w:p w:rsidR="002E61AC" w:rsidRDefault="002E61AC" w:rsidP="000F1DF9">
      <w:pPr>
        <w:spacing w:after="0" w:line="240" w:lineRule="auto"/>
        <w:jc w:val="both"/>
        <w:rPr>
          <w:rFonts w:eastAsia="Times New Roman" w:cs="Times New Roman"/>
          <w:szCs w:val="24"/>
        </w:rPr>
      </w:pPr>
      <w:r>
        <w:rPr>
          <w:rFonts w:eastAsia="Times New Roman" w:cs="Times New Roman"/>
          <w:szCs w:val="24"/>
        </w:rPr>
        <w:t>SECTION 7. Amends Subchapter E, Chapter 571, Government Code, by adding Section 571.1325, as follows:</w:t>
      </w:r>
    </w:p>
    <w:p w:rsidR="002E61AC" w:rsidRDefault="002E61AC" w:rsidP="000F1DF9">
      <w:pPr>
        <w:spacing w:after="0" w:line="240" w:lineRule="auto"/>
        <w:jc w:val="both"/>
        <w:rPr>
          <w:rFonts w:eastAsia="Times New Roman" w:cs="Times New Roman"/>
          <w:szCs w:val="24"/>
        </w:rPr>
      </w:pPr>
    </w:p>
    <w:p w:rsidR="002E61AC" w:rsidRDefault="002E61AC" w:rsidP="001541D1">
      <w:pPr>
        <w:spacing w:after="0" w:line="240" w:lineRule="auto"/>
        <w:ind w:left="720"/>
        <w:jc w:val="both"/>
        <w:rPr>
          <w:rFonts w:eastAsia="Times New Roman" w:cs="Times New Roman"/>
          <w:szCs w:val="24"/>
        </w:rPr>
      </w:pPr>
      <w:r>
        <w:rPr>
          <w:rFonts w:eastAsia="Times New Roman" w:cs="Times New Roman"/>
          <w:szCs w:val="24"/>
        </w:rPr>
        <w:t xml:space="preserve">Sec. 571.1325. TIME FOR FINAL RESOLUTION OF COMPLAINT. (a) Requires TEC to finally resolve a complaint alleging a Category One violation not later than the first anniversary of the date the complaint is filed. </w:t>
      </w:r>
    </w:p>
    <w:p w:rsidR="002E61AC" w:rsidRDefault="002E61AC" w:rsidP="001541D1">
      <w:pPr>
        <w:spacing w:after="0" w:line="240" w:lineRule="auto"/>
        <w:ind w:left="720"/>
        <w:jc w:val="both"/>
        <w:rPr>
          <w:rFonts w:eastAsia="Times New Roman" w:cs="Times New Roman"/>
          <w:szCs w:val="24"/>
        </w:rPr>
      </w:pPr>
    </w:p>
    <w:p w:rsidR="002E61AC" w:rsidRDefault="002E61AC" w:rsidP="00BD0886">
      <w:pPr>
        <w:pStyle w:val="ListParagraph"/>
        <w:tabs>
          <w:tab w:val="left" w:pos="1080"/>
        </w:tabs>
        <w:spacing w:after="0" w:line="240" w:lineRule="auto"/>
        <w:ind w:left="1080"/>
        <w:jc w:val="both"/>
        <w:rPr>
          <w:rFonts w:eastAsia="Times New Roman" w:cs="Times New Roman"/>
          <w:szCs w:val="24"/>
        </w:rPr>
      </w:pPr>
      <w:r>
        <w:rPr>
          <w:rFonts w:eastAsia="Times New Roman" w:cs="Times New Roman"/>
          <w:szCs w:val="24"/>
        </w:rPr>
        <w:t>(b) Requires TEC to finally resolve a complaint alleging a Category Two violation not later than 18 months after the date the complaint is filed.</w:t>
      </w:r>
    </w:p>
    <w:p w:rsidR="002E61AC" w:rsidRDefault="002E61AC" w:rsidP="001541D1">
      <w:pPr>
        <w:spacing w:after="0" w:line="240" w:lineRule="auto"/>
        <w:jc w:val="both"/>
        <w:rPr>
          <w:rFonts w:eastAsia="Times New Roman" w:cs="Times New Roman"/>
          <w:szCs w:val="24"/>
        </w:rPr>
      </w:pPr>
    </w:p>
    <w:p w:rsidR="002E61AC" w:rsidRDefault="002E61AC" w:rsidP="001541D1">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2E61AC" w:rsidRDefault="002E61AC" w:rsidP="001541D1">
      <w:pPr>
        <w:spacing w:after="0" w:line="240" w:lineRule="auto"/>
        <w:jc w:val="both"/>
        <w:rPr>
          <w:rFonts w:eastAsia="Times New Roman" w:cs="Times New Roman"/>
          <w:szCs w:val="24"/>
        </w:rPr>
      </w:pPr>
    </w:p>
    <w:p w:rsidR="002E61AC" w:rsidRPr="001541D1" w:rsidRDefault="002E61AC" w:rsidP="001541D1">
      <w:pPr>
        <w:spacing w:after="0" w:line="240" w:lineRule="auto"/>
        <w:jc w:val="both"/>
        <w:rPr>
          <w:rFonts w:eastAsia="Times New Roman" w:cs="Times New Roman"/>
          <w:szCs w:val="24"/>
        </w:rPr>
      </w:pPr>
      <w:r>
        <w:rPr>
          <w:rFonts w:eastAsia="Times New Roman" w:cs="Times New Roman"/>
          <w:szCs w:val="24"/>
        </w:rPr>
        <w:t>SECTION 9. Effective date: September 1, 2017.</w:t>
      </w:r>
    </w:p>
    <w:p w:rsidR="002E61AC" w:rsidRPr="006529C4" w:rsidRDefault="002E61AC" w:rsidP="00774EC7">
      <w:pPr>
        <w:spacing w:after="0" w:line="240" w:lineRule="auto"/>
        <w:jc w:val="both"/>
        <w:rPr>
          <w:rFonts w:cs="Times New Roman"/>
          <w:szCs w:val="24"/>
        </w:rPr>
      </w:pPr>
    </w:p>
    <w:p w:rsidR="002E61AC" w:rsidRPr="006529C4" w:rsidRDefault="002E61AC" w:rsidP="00774EC7">
      <w:pPr>
        <w:spacing w:after="0" w:line="240" w:lineRule="auto"/>
        <w:jc w:val="both"/>
      </w:pPr>
    </w:p>
    <w:p w:rsidR="002E61AC" w:rsidRPr="001F57F6" w:rsidRDefault="002E61AC" w:rsidP="001F57F6"/>
    <w:p w:rsidR="002E61AC" w:rsidRPr="00BD0886" w:rsidRDefault="002E61AC" w:rsidP="00BD0886"/>
    <w:p w:rsidR="00986E9F" w:rsidRPr="002E61AC" w:rsidRDefault="00986E9F" w:rsidP="002E61AC"/>
    <w:sectPr w:rsidR="00986E9F" w:rsidRPr="002E61AC"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EA" w:rsidRDefault="00B244EA" w:rsidP="000F1DF9">
      <w:pPr>
        <w:spacing w:after="0" w:line="240" w:lineRule="auto"/>
      </w:pPr>
      <w:r>
        <w:separator/>
      </w:r>
    </w:p>
  </w:endnote>
  <w:endnote w:type="continuationSeparator" w:id="0">
    <w:p w:rsidR="00B244EA" w:rsidRDefault="00B244E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4E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61AC">
                <w:rPr>
                  <w:sz w:val="20"/>
                  <w:szCs w:val="20"/>
                </w:rPr>
                <w:t>KRB</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61AC">
                <w:rPr>
                  <w:sz w:val="20"/>
                  <w:szCs w:val="20"/>
                </w:rPr>
                <w:t>S.B. 612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61A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4E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61A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61A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EA" w:rsidRDefault="00B244EA" w:rsidP="000F1DF9">
      <w:pPr>
        <w:spacing w:after="0" w:line="240" w:lineRule="auto"/>
      </w:pPr>
      <w:r>
        <w:separator/>
      </w:r>
    </w:p>
  </w:footnote>
  <w:footnote w:type="continuationSeparator" w:id="0">
    <w:p w:rsidR="00B244EA" w:rsidRDefault="00B244EA"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0F8"/>
    <w:multiLevelType w:val="hybridMultilevel"/>
    <w:tmpl w:val="9214886A"/>
    <w:lvl w:ilvl="0" w:tplc="0E7AB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AD3B1F"/>
    <w:multiLevelType w:val="hybridMultilevel"/>
    <w:tmpl w:val="77406694"/>
    <w:lvl w:ilvl="0" w:tplc="C37E6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61A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44EA"/>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61A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E6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61AC"/>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2E6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04AF" w:rsidP="006104A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3B86695879140578D382BCCEB68C044"/>
        <w:category>
          <w:name w:val="General"/>
          <w:gallery w:val="placeholder"/>
        </w:category>
        <w:types>
          <w:type w:val="bbPlcHdr"/>
        </w:types>
        <w:behaviors>
          <w:behavior w:val="content"/>
        </w:behaviors>
        <w:guid w:val="{6BECB5B1-9B73-4C92-B316-AE1419739CDB}"/>
      </w:docPartPr>
      <w:docPartBody>
        <w:p w:rsidR="00000000" w:rsidRDefault="00F35965"/>
      </w:docPartBody>
    </w:docPart>
    <w:docPart>
      <w:docPartPr>
        <w:name w:val="D28893756274494FA7EA06EEC28BB459"/>
        <w:category>
          <w:name w:val="General"/>
          <w:gallery w:val="placeholder"/>
        </w:category>
        <w:types>
          <w:type w:val="bbPlcHdr"/>
        </w:types>
        <w:behaviors>
          <w:behavior w:val="content"/>
        </w:behaviors>
        <w:guid w:val="{8805F4DC-593A-4BC0-92E6-B42F4CC4A980}"/>
      </w:docPartPr>
      <w:docPartBody>
        <w:p w:rsidR="00000000" w:rsidRDefault="00F35965"/>
      </w:docPartBody>
    </w:docPart>
    <w:docPart>
      <w:docPartPr>
        <w:name w:val="0164F506E1ED4B0984DDA0BB70D5725D"/>
        <w:category>
          <w:name w:val="General"/>
          <w:gallery w:val="placeholder"/>
        </w:category>
        <w:types>
          <w:type w:val="bbPlcHdr"/>
        </w:types>
        <w:behaviors>
          <w:behavior w:val="content"/>
        </w:behaviors>
        <w:guid w:val="{E917AD78-F600-4479-9B89-7B4DA80DCE7F}"/>
      </w:docPartPr>
      <w:docPartBody>
        <w:p w:rsidR="00000000" w:rsidRDefault="00F35965"/>
      </w:docPartBody>
    </w:docPart>
    <w:docPart>
      <w:docPartPr>
        <w:name w:val="E24A40C7F9274C3CB4A262491A759916"/>
        <w:category>
          <w:name w:val="General"/>
          <w:gallery w:val="placeholder"/>
        </w:category>
        <w:types>
          <w:type w:val="bbPlcHdr"/>
        </w:types>
        <w:behaviors>
          <w:behavior w:val="content"/>
        </w:behaviors>
        <w:guid w:val="{D4615AED-EBBC-4B7F-8360-34AA304AF036}"/>
      </w:docPartPr>
      <w:docPartBody>
        <w:p w:rsidR="00000000" w:rsidRDefault="00F35965"/>
      </w:docPartBody>
    </w:docPart>
    <w:docPart>
      <w:docPartPr>
        <w:name w:val="ACA6ABEC02D948309D187CE00F3B3133"/>
        <w:category>
          <w:name w:val="General"/>
          <w:gallery w:val="placeholder"/>
        </w:category>
        <w:types>
          <w:type w:val="bbPlcHdr"/>
        </w:types>
        <w:behaviors>
          <w:behavior w:val="content"/>
        </w:behaviors>
        <w:guid w:val="{8C63FDAD-0B58-4DDD-8737-79ACD1073DD7}"/>
      </w:docPartPr>
      <w:docPartBody>
        <w:p w:rsidR="00000000" w:rsidRDefault="00F35965"/>
      </w:docPartBody>
    </w:docPart>
    <w:docPart>
      <w:docPartPr>
        <w:name w:val="42FC55AB5FCE4E8381ABF59F16C0ABC5"/>
        <w:category>
          <w:name w:val="General"/>
          <w:gallery w:val="placeholder"/>
        </w:category>
        <w:types>
          <w:type w:val="bbPlcHdr"/>
        </w:types>
        <w:behaviors>
          <w:behavior w:val="content"/>
        </w:behaviors>
        <w:guid w:val="{A46C31FF-BE84-406E-83ED-7E029DEFCC1E}"/>
      </w:docPartPr>
      <w:docPartBody>
        <w:p w:rsidR="00000000" w:rsidRDefault="00F35965"/>
      </w:docPartBody>
    </w:docPart>
    <w:docPart>
      <w:docPartPr>
        <w:name w:val="E6292B1B913C4090B1D68C3DFB267242"/>
        <w:category>
          <w:name w:val="General"/>
          <w:gallery w:val="placeholder"/>
        </w:category>
        <w:types>
          <w:type w:val="bbPlcHdr"/>
        </w:types>
        <w:behaviors>
          <w:behavior w:val="content"/>
        </w:behaviors>
        <w:guid w:val="{BEA6F5DC-EFBF-4AE2-B1AA-64C0450DC72C}"/>
      </w:docPartPr>
      <w:docPartBody>
        <w:p w:rsidR="00000000" w:rsidRDefault="00F35965"/>
      </w:docPartBody>
    </w:docPart>
    <w:docPart>
      <w:docPartPr>
        <w:name w:val="9F7EAC88FC5B4829A8A280E4D6ED59BC"/>
        <w:category>
          <w:name w:val="General"/>
          <w:gallery w:val="placeholder"/>
        </w:category>
        <w:types>
          <w:type w:val="bbPlcHdr"/>
        </w:types>
        <w:behaviors>
          <w:behavior w:val="content"/>
        </w:behaviors>
        <w:guid w:val="{9EC61272-7687-4598-9947-39D3F6EEAA26}"/>
      </w:docPartPr>
      <w:docPartBody>
        <w:p w:rsidR="00000000" w:rsidRDefault="00F35965"/>
      </w:docPartBody>
    </w:docPart>
    <w:docPart>
      <w:docPartPr>
        <w:name w:val="98F23B193B8E4C06872B7D19ABE9187C"/>
        <w:category>
          <w:name w:val="General"/>
          <w:gallery w:val="placeholder"/>
        </w:category>
        <w:types>
          <w:type w:val="bbPlcHdr"/>
        </w:types>
        <w:behaviors>
          <w:behavior w:val="content"/>
        </w:behaviors>
        <w:guid w:val="{06D973DB-FFA4-49E5-9D4E-8E552C852066}"/>
      </w:docPartPr>
      <w:docPartBody>
        <w:p w:rsidR="00000000" w:rsidRDefault="006104AF" w:rsidP="006104AF">
          <w:pPr>
            <w:pStyle w:val="98F23B193B8E4C06872B7D19ABE9187C"/>
          </w:pPr>
          <w:r w:rsidRPr="00A30DD1">
            <w:rPr>
              <w:rStyle w:val="PlaceholderText"/>
            </w:rPr>
            <w:t>Click here to enter a date.</w:t>
          </w:r>
        </w:p>
      </w:docPartBody>
    </w:docPart>
    <w:docPart>
      <w:docPartPr>
        <w:name w:val="57DF32C4222E45DFA1A3BB4654F7D709"/>
        <w:category>
          <w:name w:val="General"/>
          <w:gallery w:val="placeholder"/>
        </w:category>
        <w:types>
          <w:type w:val="bbPlcHdr"/>
        </w:types>
        <w:behaviors>
          <w:behavior w:val="content"/>
        </w:behaviors>
        <w:guid w:val="{7C2F2987-C98E-4C4A-8738-F6E2CD9ADC93}"/>
      </w:docPartPr>
      <w:docPartBody>
        <w:p w:rsidR="00000000" w:rsidRDefault="00F35965"/>
      </w:docPartBody>
    </w:docPart>
    <w:docPart>
      <w:docPartPr>
        <w:name w:val="91FC154D8FE54A26B20471889AA7343B"/>
        <w:category>
          <w:name w:val="General"/>
          <w:gallery w:val="placeholder"/>
        </w:category>
        <w:types>
          <w:type w:val="bbPlcHdr"/>
        </w:types>
        <w:behaviors>
          <w:behavior w:val="content"/>
        </w:behaviors>
        <w:guid w:val="{4D9C7A30-4248-4F0A-9ABE-42A53960A1FC}"/>
      </w:docPartPr>
      <w:docPartBody>
        <w:p w:rsidR="00000000" w:rsidRDefault="00F35965"/>
      </w:docPartBody>
    </w:docPart>
    <w:docPart>
      <w:docPartPr>
        <w:name w:val="7A28649F096849BA90C9BAE86475EFC3"/>
        <w:category>
          <w:name w:val="General"/>
          <w:gallery w:val="placeholder"/>
        </w:category>
        <w:types>
          <w:type w:val="bbPlcHdr"/>
        </w:types>
        <w:behaviors>
          <w:behavior w:val="content"/>
        </w:behaviors>
        <w:guid w:val="{4555BF6F-781F-4A83-8068-C8B496CC76FD}"/>
      </w:docPartPr>
      <w:docPartBody>
        <w:p w:rsidR="00000000" w:rsidRDefault="006104AF" w:rsidP="006104AF">
          <w:pPr>
            <w:pStyle w:val="7A28649F096849BA90C9BAE86475EFC3"/>
          </w:pPr>
          <w:r>
            <w:rPr>
              <w:rFonts w:eastAsia="Times New Roman" w:cs="Times New Roman"/>
              <w:bCs/>
              <w:szCs w:val="24"/>
            </w:rPr>
            <w:t xml:space="preserve"> </w:t>
          </w:r>
        </w:p>
      </w:docPartBody>
    </w:docPart>
    <w:docPart>
      <w:docPartPr>
        <w:name w:val="48475D94D4D64CC490B549F79B94E88B"/>
        <w:category>
          <w:name w:val="General"/>
          <w:gallery w:val="placeholder"/>
        </w:category>
        <w:types>
          <w:type w:val="bbPlcHdr"/>
        </w:types>
        <w:behaviors>
          <w:behavior w:val="content"/>
        </w:behaviors>
        <w:guid w:val="{F360ADC2-1FEC-477D-8A3C-C3B98BBDEA82}"/>
      </w:docPartPr>
      <w:docPartBody>
        <w:p w:rsidR="00000000" w:rsidRDefault="00F35965"/>
      </w:docPartBody>
    </w:docPart>
    <w:docPart>
      <w:docPartPr>
        <w:name w:val="661EBF36903645D9B0C04D85910BA75A"/>
        <w:category>
          <w:name w:val="General"/>
          <w:gallery w:val="placeholder"/>
        </w:category>
        <w:types>
          <w:type w:val="bbPlcHdr"/>
        </w:types>
        <w:behaviors>
          <w:behavior w:val="content"/>
        </w:behaviors>
        <w:guid w:val="{51340753-FEAA-49D9-84FF-41BB0BEE2CDB}"/>
      </w:docPartPr>
      <w:docPartBody>
        <w:p w:rsidR="00000000" w:rsidRDefault="00F3596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04A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5965"/>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4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04AF"/>
    <w:rPr>
      <w:rFonts w:ascii="Times New Roman" w:hAnsi="Times New Roman"/>
      <w:sz w:val="24"/>
    </w:rPr>
  </w:style>
  <w:style w:type="paragraph" w:customStyle="1" w:styleId="487D89B4F8B34DB4967D41FE18F7F88D7">
    <w:name w:val="487D89B4F8B34DB4967D41FE18F7F88D7"/>
    <w:rsid w:val="006104AF"/>
    <w:rPr>
      <w:rFonts w:ascii="Times New Roman" w:hAnsi="Times New Roman"/>
      <w:sz w:val="24"/>
    </w:rPr>
  </w:style>
  <w:style w:type="paragraph" w:customStyle="1" w:styleId="AE2570ED5D764CD7AF9686706F550F4620">
    <w:name w:val="AE2570ED5D764CD7AF9686706F550F4620"/>
    <w:rsid w:val="006104AF"/>
    <w:pPr>
      <w:tabs>
        <w:tab w:val="center" w:pos="4680"/>
        <w:tab w:val="right" w:pos="9360"/>
      </w:tabs>
      <w:spacing w:after="0" w:line="240" w:lineRule="auto"/>
    </w:pPr>
    <w:rPr>
      <w:rFonts w:ascii="Times New Roman" w:hAnsi="Times New Roman"/>
      <w:sz w:val="24"/>
    </w:rPr>
  </w:style>
  <w:style w:type="paragraph" w:customStyle="1" w:styleId="98F23B193B8E4C06872B7D19ABE9187C">
    <w:name w:val="98F23B193B8E4C06872B7D19ABE9187C"/>
    <w:rsid w:val="006104AF"/>
  </w:style>
  <w:style w:type="paragraph" w:customStyle="1" w:styleId="7A28649F096849BA90C9BAE86475EFC3">
    <w:name w:val="7A28649F096849BA90C9BAE86475EFC3"/>
    <w:rsid w:val="006104A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4A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04AF"/>
    <w:rPr>
      <w:rFonts w:ascii="Times New Roman" w:hAnsi="Times New Roman"/>
      <w:sz w:val="24"/>
    </w:rPr>
  </w:style>
  <w:style w:type="paragraph" w:customStyle="1" w:styleId="487D89B4F8B34DB4967D41FE18F7F88D7">
    <w:name w:val="487D89B4F8B34DB4967D41FE18F7F88D7"/>
    <w:rsid w:val="006104AF"/>
    <w:rPr>
      <w:rFonts w:ascii="Times New Roman" w:hAnsi="Times New Roman"/>
      <w:sz w:val="24"/>
    </w:rPr>
  </w:style>
  <w:style w:type="paragraph" w:customStyle="1" w:styleId="AE2570ED5D764CD7AF9686706F550F4620">
    <w:name w:val="AE2570ED5D764CD7AF9686706F550F4620"/>
    <w:rsid w:val="006104AF"/>
    <w:pPr>
      <w:tabs>
        <w:tab w:val="center" w:pos="4680"/>
        <w:tab w:val="right" w:pos="9360"/>
      </w:tabs>
      <w:spacing w:after="0" w:line="240" w:lineRule="auto"/>
    </w:pPr>
    <w:rPr>
      <w:rFonts w:ascii="Times New Roman" w:hAnsi="Times New Roman"/>
      <w:sz w:val="24"/>
    </w:rPr>
  </w:style>
  <w:style w:type="paragraph" w:customStyle="1" w:styleId="98F23B193B8E4C06872B7D19ABE9187C">
    <w:name w:val="98F23B193B8E4C06872B7D19ABE9187C"/>
    <w:rsid w:val="006104AF"/>
  </w:style>
  <w:style w:type="paragraph" w:customStyle="1" w:styleId="7A28649F096849BA90C9BAE86475EFC3">
    <w:name w:val="7A28649F096849BA90C9BAE86475EFC3"/>
    <w:rsid w:val="00610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54C95F-4945-43BE-8FA7-F05CD359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911</Words>
  <Characters>5197</Characters>
  <Application>Microsoft Office Word</Application>
  <DocSecurity>0</DocSecurity>
  <Lines>43</Lines>
  <Paragraphs>12</Paragraphs>
  <ScaleCrop>false</ScaleCrop>
  <Company>Texas Legislative Council</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Kevin Bartz</cp:lastModifiedBy>
  <cp:revision>153</cp:revision>
  <cp:lastPrinted>2017-03-24T17:31:00Z</cp:lastPrinted>
  <dcterms:created xsi:type="dcterms:W3CDTF">2015-05-29T14:24:00Z</dcterms:created>
  <dcterms:modified xsi:type="dcterms:W3CDTF">2017-03-24T17:31:00Z</dcterms:modified>
</cp:coreProperties>
</file>

<file path=docProps/custom.xml><?xml version="1.0" encoding="utf-8"?>
<op:Properties xmlns:vt="http://schemas.openxmlformats.org/officeDocument/2006/docPropsVTypes" xmlns:op="http://schemas.openxmlformats.org/officeDocument/2006/custom-properties"/>
</file>