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1B4A" w:rsidTr="00345119">
        <w:tc>
          <w:tcPr>
            <w:tcW w:w="9576" w:type="dxa"/>
            <w:noWrap/>
          </w:tcPr>
          <w:p w:rsidR="008423E4" w:rsidRPr="0022177D" w:rsidRDefault="00F50E7B" w:rsidP="00345119">
            <w:pPr>
              <w:pStyle w:val="Heading1"/>
            </w:pPr>
            <w:bookmarkStart w:id="0" w:name="_GoBack"/>
            <w:bookmarkEnd w:id="0"/>
            <w:r w:rsidRPr="00631897">
              <w:t>BILL ANALYSIS</w:t>
            </w:r>
          </w:p>
        </w:tc>
      </w:tr>
    </w:tbl>
    <w:p w:rsidR="008423E4" w:rsidRPr="0022177D" w:rsidRDefault="00F50E7B" w:rsidP="008423E4">
      <w:pPr>
        <w:jc w:val="center"/>
      </w:pPr>
    </w:p>
    <w:p w:rsidR="008423E4" w:rsidRPr="00B31F0E" w:rsidRDefault="00F50E7B" w:rsidP="008423E4"/>
    <w:p w:rsidR="008423E4" w:rsidRPr="00742794" w:rsidRDefault="00F50E7B" w:rsidP="008423E4">
      <w:pPr>
        <w:tabs>
          <w:tab w:val="right" w:pos="9360"/>
        </w:tabs>
      </w:pPr>
    </w:p>
    <w:tbl>
      <w:tblPr>
        <w:tblW w:w="0" w:type="auto"/>
        <w:tblLayout w:type="fixed"/>
        <w:tblLook w:val="01E0" w:firstRow="1" w:lastRow="1" w:firstColumn="1" w:lastColumn="1" w:noHBand="0" w:noVBand="0"/>
      </w:tblPr>
      <w:tblGrid>
        <w:gridCol w:w="9576"/>
      </w:tblGrid>
      <w:tr w:rsidR="00DC1B4A" w:rsidTr="00345119">
        <w:tc>
          <w:tcPr>
            <w:tcW w:w="9576" w:type="dxa"/>
          </w:tcPr>
          <w:p w:rsidR="008423E4" w:rsidRPr="00861995" w:rsidRDefault="00F50E7B" w:rsidP="00345119">
            <w:pPr>
              <w:jc w:val="right"/>
            </w:pPr>
            <w:r>
              <w:t>S.B. 692</w:t>
            </w:r>
          </w:p>
        </w:tc>
      </w:tr>
      <w:tr w:rsidR="00DC1B4A" w:rsidTr="00345119">
        <w:tc>
          <w:tcPr>
            <w:tcW w:w="9576" w:type="dxa"/>
          </w:tcPr>
          <w:p w:rsidR="008423E4" w:rsidRPr="00861995" w:rsidRDefault="00F50E7B" w:rsidP="00336AC2">
            <w:pPr>
              <w:jc w:val="right"/>
            </w:pPr>
            <w:r>
              <w:t xml:space="preserve">By: </w:t>
            </w:r>
            <w:r>
              <w:t>Rodríguez</w:t>
            </w:r>
          </w:p>
        </w:tc>
      </w:tr>
      <w:tr w:rsidR="00DC1B4A" w:rsidTr="00345119">
        <w:tc>
          <w:tcPr>
            <w:tcW w:w="9576" w:type="dxa"/>
          </w:tcPr>
          <w:p w:rsidR="008423E4" w:rsidRPr="00861995" w:rsidRDefault="00F50E7B" w:rsidP="00345119">
            <w:pPr>
              <w:jc w:val="right"/>
            </w:pPr>
            <w:r>
              <w:t>County Affairs</w:t>
            </w:r>
          </w:p>
        </w:tc>
      </w:tr>
      <w:tr w:rsidR="00DC1B4A" w:rsidTr="00345119">
        <w:tc>
          <w:tcPr>
            <w:tcW w:w="9576" w:type="dxa"/>
          </w:tcPr>
          <w:p w:rsidR="008423E4" w:rsidRDefault="00F50E7B" w:rsidP="00345119">
            <w:pPr>
              <w:jc w:val="right"/>
            </w:pPr>
            <w:r>
              <w:t>Committee Report (Unamended)</w:t>
            </w:r>
          </w:p>
        </w:tc>
      </w:tr>
    </w:tbl>
    <w:p w:rsidR="008423E4" w:rsidRDefault="00F50E7B" w:rsidP="008423E4">
      <w:pPr>
        <w:tabs>
          <w:tab w:val="right" w:pos="9360"/>
        </w:tabs>
      </w:pPr>
    </w:p>
    <w:p w:rsidR="008423E4" w:rsidRDefault="00F50E7B" w:rsidP="008423E4"/>
    <w:p w:rsidR="008423E4" w:rsidRDefault="00F50E7B" w:rsidP="008423E4"/>
    <w:tbl>
      <w:tblPr>
        <w:tblW w:w="0" w:type="auto"/>
        <w:tblCellMar>
          <w:left w:w="115" w:type="dxa"/>
          <w:right w:w="115" w:type="dxa"/>
        </w:tblCellMar>
        <w:tblLook w:val="01E0" w:firstRow="1" w:lastRow="1" w:firstColumn="1" w:lastColumn="1" w:noHBand="0" w:noVBand="0"/>
      </w:tblPr>
      <w:tblGrid>
        <w:gridCol w:w="9576"/>
      </w:tblGrid>
      <w:tr w:rsidR="00DC1B4A" w:rsidTr="00345119">
        <w:tc>
          <w:tcPr>
            <w:tcW w:w="9576" w:type="dxa"/>
          </w:tcPr>
          <w:p w:rsidR="008423E4" w:rsidRPr="00A8133F" w:rsidRDefault="00F50E7B" w:rsidP="00A84518">
            <w:pPr>
              <w:rPr>
                <w:b/>
              </w:rPr>
            </w:pPr>
            <w:r w:rsidRPr="009C1E9A">
              <w:rPr>
                <w:b/>
                <w:u w:val="single"/>
              </w:rPr>
              <w:t>BACKGROUND AND PURPOSE</w:t>
            </w:r>
            <w:r>
              <w:rPr>
                <w:b/>
              </w:rPr>
              <w:t xml:space="preserve"> </w:t>
            </w:r>
          </w:p>
          <w:p w:rsidR="008423E4" w:rsidRDefault="00F50E7B" w:rsidP="00A84518"/>
          <w:p w:rsidR="008423E4" w:rsidRDefault="00F50E7B" w:rsidP="00A84518">
            <w:pPr>
              <w:pStyle w:val="Header"/>
              <w:tabs>
                <w:tab w:val="clear" w:pos="4320"/>
                <w:tab w:val="clear" w:pos="8640"/>
              </w:tabs>
              <w:jc w:val="both"/>
            </w:pPr>
            <w:r>
              <w:t>Interested parties note that in certain communities the development of subdivisions</w:t>
            </w:r>
            <w:r>
              <w:t xml:space="preserve"> in recent decades </w:t>
            </w:r>
            <w:r>
              <w:t>has been</w:t>
            </w:r>
            <w:r>
              <w:t xml:space="preserve"> staggered</w:t>
            </w:r>
            <w:r>
              <w:t>,</w:t>
            </w:r>
            <w:r>
              <w:t xml:space="preserve"> </w:t>
            </w:r>
            <w:r>
              <w:t xml:space="preserve">resulting in a </w:t>
            </w:r>
            <w:r>
              <w:t>patchwork of</w:t>
            </w:r>
            <w:r>
              <w:t xml:space="preserve"> undeveloped</w:t>
            </w:r>
            <w:r>
              <w:t xml:space="preserve"> and</w:t>
            </w:r>
            <w:r>
              <w:t xml:space="preserve"> developed</w:t>
            </w:r>
            <w:r>
              <w:t xml:space="preserve"> lots</w:t>
            </w:r>
            <w:r>
              <w:t xml:space="preserve"> and</w:t>
            </w:r>
            <w:r>
              <w:t xml:space="preserve"> </w:t>
            </w:r>
            <w:r>
              <w:t xml:space="preserve">unequal </w:t>
            </w:r>
            <w:r>
              <w:t>access to vital infrastructure</w:t>
            </w:r>
            <w:r>
              <w:t xml:space="preserve">. </w:t>
            </w:r>
            <w:r>
              <w:t>S</w:t>
            </w:r>
            <w:r>
              <w:t>.</w:t>
            </w:r>
            <w:r>
              <w:t>B</w:t>
            </w:r>
            <w:r>
              <w:t>.</w:t>
            </w:r>
            <w:r>
              <w:t xml:space="preserve"> </w:t>
            </w:r>
            <w:r>
              <w:t xml:space="preserve">692 </w:t>
            </w:r>
            <w:r>
              <w:t>seeks to</w:t>
            </w:r>
            <w:r>
              <w:t xml:space="preserve"> address this issue by providing for a process by which certain counties may apply </w:t>
            </w:r>
            <w:r>
              <w:t xml:space="preserve">more current infrastructure requirements </w:t>
            </w:r>
            <w:r>
              <w:t xml:space="preserve">to </w:t>
            </w:r>
            <w:r>
              <w:t>certain</w:t>
            </w:r>
            <w:r>
              <w:t xml:space="preserve"> subdivisions.</w:t>
            </w:r>
            <w:r>
              <w:t xml:space="preserve"> </w:t>
            </w:r>
          </w:p>
          <w:p w:rsidR="008423E4" w:rsidRPr="00E26B13" w:rsidRDefault="00F50E7B" w:rsidP="00A84518">
            <w:pPr>
              <w:rPr>
                <w:b/>
              </w:rPr>
            </w:pPr>
          </w:p>
        </w:tc>
      </w:tr>
      <w:tr w:rsidR="00DC1B4A" w:rsidTr="00345119">
        <w:tc>
          <w:tcPr>
            <w:tcW w:w="9576" w:type="dxa"/>
          </w:tcPr>
          <w:p w:rsidR="0017725B" w:rsidRDefault="00F50E7B" w:rsidP="00A84518">
            <w:pPr>
              <w:rPr>
                <w:b/>
                <w:u w:val="single"/>
              </w:rPr>
            </w:pPr>
            <w:r>
              <w:rPr>
                <w:b/>
                <w:u w:val="single"/>
              </w:rPr>
              <w:t>CRIMINAL JUSTICE IMPACT</w:t>
            </w:r>
          </w:p>
          <w:p w:rsidR="0017725B" w:rsidRDefault="00F50E7B" w:rsidP="00A84518">
            <w:pPr>
              <w:rPr>
                <w:b/>
                <w:u w:val="single"/>
              </w:rPr>
            </w:pPr>
          </w:p>
          <w:p w:rsidR="00295201" w:rsidRPr="00295201" w:rsidRDefault="00F50E7B" w:rsidP="00A84518">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F50E7B" w:rsidP="00A84518">
            <w:pPr>
              <w:rPr>
                <w:b/>
                <w:u w:val="single"/>
              </w:rPr>
            </w:pPr>
          </w:p>
        </w:tc>
      </w:tr>
      <w:tr w:rsidR="00DC1B4A" w:rsidTr="00345119">
        <w:tc>
          <w:tcPr>
            <w:tcW w:w="9576" w:type="dxa"/>
          </w:tcPr>
          <w:p w:rsidR="008423E4" w:rsidRPr="00A8133F" w:rsidRDefault="00F50E7B" w:rsidP="00A84518">
            <w:pPr>
              <w:rPr>
                <w:b/>
              </w:rPr>
            </w:pPr>
            <w:r w:rsidRPr="009C1E9A">
              <w:rPr>
                <w:b/>
                <w:u w:val="single"/>
              </w:rPr>
              <w:t>RULEMAKING AUTHORITY</w:t>
            </w:r>
            <w:r>
              <w:rPr>
                <w:b/>
              </w:rPr>
              <w:t xml:space="preserve"> </w:t>
            </w:r>
          </w:p>
          <w:p w:rsidR="008423E4" w:rsidRDefault="00F50E7B" w:rsidP="00A84518"/>
          <w:p w:rsidR="00295201" w:rsidRDefault="00F50E7B" w:rsidP="00A8451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50E7B" w:rsidP="00A84518">
            <w:pPr>
              <w:rPr>
                <w:b/>
              </w:rPr>
            </w:pPr>
          </w:p>
        </w:tc>
      </w:tr>
      <w:tr w:rsidR="00DC1B4A" w:rsidTr="00345119">
        <w:tc>
          <w:tcPr>
            <w:tcW w:w="9576" w:type="dxa"/>
          </w:tcPr>
          <w:p w:rsidR="008423E4" w:rsidRPr="00A8133F" w:rsidRDefault="00F50E7B" w:rsidP="00A84518">
            <w:pPr>
              <w:rPr>
                <w:b/>
              </w:rPr>
            </w:pPr>
            <w:r w:rsidRPr="009C1E9A">
              <w:rPr>
                <w:b/>
                <w:u w:val="single"/>
              </w:rPr>
              <w:t>ANALYSIS</w:t>
            </w:r>
            <w:r>
              <w:rPr>
                <w:b/>
              </w:rPr>
              <w:t xml:space="preserve"> </w:t>
            </w:r>
          </w:p>
          <w:p w:rsidR="008423E4" w:rsidRDefault="00F50E7B" w:rsidP="00A84518"/>
          <w:p w:rsidR="00675BCB" w:rsidRDefault="00F50E7B" w:rsidP="00A84518">
            <w:pPr>
              <w:pStyle w:val="Header"/>
              <w:jc w:val="both"/>
            </w:pPr>
            <w:r>
              <w:t>S</w:t>
            </w:r>
            <w:r>
              <w:t xml:space="preserve">.B. </w:t>
            </w:r>
            <w:r>
              <w:t xml:space="preserve">692 </w:t>
            </w:r>
            <w:r>
              <w:t>amends the Local Government Code</w:t>
            </w:r>
            <w:r>
              <w:t>, for purposes of</w:t>
            </w:r>
            <w:r>
              <w:t xml:space="preserve"> </w:t>
            </w:r>
            <w:r>
              <w:t xml:space="preserve">statutory </w:t>
            </w:r>
            <w:r>
              <w:t>provisions authorizing</w:t>
            </w:r>
            <w:r>
              <w:t xml:space="preserve"> the commissioners courts of certain counties located </w:t>
            </w:r>
            <w:r>
              <w:t>near</w:t>
            </w:r>
            <w:r>
              <w:t xml:space="preserve"> an international border to cancel a subdivision for which the plat was file</w:t>
            </w:r>
            <w:r>
              <w:t>d</w:t>
            </w:r>
            <w:r>
              <w:t xml:space="preserve"> and approved before September 1, 1989,</w:t>
            </w:r>
            <w:r>
              <w:t xml:space="preserve"> if the development of or the making of improvements in the subdivision was not begun before a certain date and the commissioners court by resolution has made a finding that the land in question is likely to be developed as a colonia, to change </w:t>
            </w:r>
            <w:r>
              <w:t>that</w:t>
            </w:r>
            <w:r>
              <w:t xml:space="preserve"> date f</w:t>
            </w:r>
            <w:r>
              <w:t xml:space="preserve">rom the effective date of </w:t>
            </w:r>
            <w:r>
              <w:t>such</w:t>
            </w:r>
            <w:r>
              <w:t xml:space="preserve"> provisions to June 5, 1995, and to specify that </w:t>
            </w:r>
            <w:r>
              <w:t>such</w:t>
            </w:r>
            <w:r>
              <w:t xml:space="preserve"> provisions</w:t>
            </w:r>
            <w:r>
              <w:t xml:space="preserve"> appl</w:t>
            </w:r>
            <w:r>
              <w:t>y</w:t>
            </w:r>
            <w:r>
              <w:t xml:space="preserve"> only to real property located in the unincorporated area</w:t>
            </w:r>
            <w:r>
              <w:t xml:space="preserve"> of the county.</w:t>
            </w:r>
            <w:r>
              <w:t xml:space="preserve"> </w:t>
            </w:r>
            <w:r>
              <w:t>The bill defines "nondeveloper owner"</w:t>
            </w:r>
            <w:r>
              <w:t xml:space="preserve"> for purposes of </w:t>
            </w:r>
            <w:r>
              <w:t>such</w:t>
            </w:r>
            <w:r>
              <w:t xml:space="preserve"> provisions</w:t>
            </w:r>
            <w:r>
              <w:t xml:space="preserve"> as a person w</w:t>
            </w:r>
            <w:r>
              <w:t>ho owns one or more lots in a subdivision to be occupied as the owner's personal residence and</w:t>
            </w:r>
            <w:r>
              <w:t xml:space="preserve"> who</w:t>
            </w:r>
            <w:r>
              <w:t xml:space="preserve"> has not participated and does not participate in the marketing, promotion, or offering of lots for sale or lease as part of a common promotional plan in the </w:t>
            </w:r>
            <w:r>
              <w:t>ordinary course of business.</w:t>
            </w:r>
          </w:p>
          <w:p w:rsidR="00675BCB" w:rsidRDefault="00F50E7B" w:rsidP="00A84518">
            <w:pPr>
              <w:pStyle w:val="Header"/>
              <w:tabs>
                <w:tab w:val="clear" w:pos="4320"/>
                <w:tab w:val="clear" w:pos="8640"/>
              </w:tabs>
              <w:jc w:val="both"/>
            </w:pPr>
          </w:p>
          <w:p w:rsidR="00CF0DE5" w:rsidRDefault="00F50E7B" w:rsidP="00A84518">
            <w:pPr>
              <w:pStyle w:val="Header"/>
              <w:tabs>
                <w:tab w:val="clear" w:pos="4320"/>
                <w:tab w:val="clear" w:pos="8640"/>
              </w:tabs>
              <w:jc w:val="both"/>
            </w:pPr>
            <w:r>
              <w:t xml:space="preserve">S.B. 692 </w:t>
            </w:r>
            <w:r>
              <w:t>authorize</w:t>
            </w:r>
            <w:r>
              <w:t>s</w:t>
            </w:r>
            <w:r>
              <w:t xml:space="preserve"> the</w:t>
            </w:r>
            <w:r>
              <w:t xml:space="preserve"> commissioners court</w:t>
            </w:r>
            <w:r>
              <w:t xml:space="preserve"> of </w:t>
            </w:r>
            <w:r w:rsidRPr="000A6A52">
              <w:t>a county with a population of more than 800,000 that is adjacent to an international border</w:t>
            </w:r>
            <w:r>
              <w:t xml:space="preserve"> by order to implement a process applicable to a subdivision in which 50 percent or more of the lots are undeveloped or unoccupied on or after the 25th anniversary of the date the plat for the subdivision was recorded with the county and through which the </w:t>
            </w:r>
            <w:r>
              <w:t xml:space="preserve">county, to the extent practicable, </w:t>
            </w:r>
            <w:r>
              <w:t>may</w:t>
            </w:r>
            <w:r>
              <w:t xml:space="preserve"> apply to the subdivision more current street, road, drainage, and other infrastructure requirements. The bill requires a regulation or standard adopted by a county </w:t>
            </w:r>
            <w:r w:rsidRPr="002B732D">
              <w:t>under the</w:t>
            </w:r>
            <w:r w:rsidRPr="00401074">
              <w:t xml:space="preserve">se </w:t>
            </w:r>
            <w:r>
              <w:t xml:space="preserve">bill </w:t>
            </w:r>
            <w:r w:rsidRPr="00401074">
              <w:t xml:space="preserve">provisions </w:t>
            </w:r>
            <w:r w:rsidRPr="002B732D">
              <w:t>to be no less stringent t</w:t>
            </w:r>
            <w:r w:rsidRPr="002B732D">
              <w:t>han the minimum standards and other re</w:t>
            </w:r>
            <w:r w:rsidRPr="000140C3">
              <w:t>quirements under the</w:t>
            </w:r>
            <w:r w:rsidRPr="00B03D2E">
              <w:t xml:space="preserve"> Texas Water Development Board's</w:t>
            </w:r>
            <w:r w:rsidRPr="00B03D2E">
              <w:t xml:space="preserve"> model rules for safe and sanitary water supply and sewer services and any other minimum public safety standards that would otherwise be applicable to the subdivision</w:t>
            </w:r>
            <w:r w:rsidRPr="00B03D2E">
              <w:t xml:space="preserve">. </w:t>
            </w:r>
            <w:r w:rsidRPr="00B03D2E">
              <w:t>The bill</w:t>
            </w:r>
            <w:r w:rsidRPr="00B03D2E">
              <w:t xml:space="preserve"> restricts the</w:t>
            </w:r>
            <w:r w:rsidRPr="00B03D2E">
              <w:t xml:space="preserve"> appli</w:t>
            </w:r>
            <w:r w:rsidRPr="00B03D2E">
              <w:t>cability of</w:t>
            </w:r>
            <w:r w:rsidRPr="00B03D2E">
              <w:t xml:space="preserve"> a </w:t>
            </w:r>
            <w:r w:rsidRPr="00B03D2E">
              <w:t xml:space="preserve">regulation or standard adopted by a county under </w:t>
            </w:r>
            <w:r w:rsidRPr="00B03D2E">
              <w:t>the</w:t>
            </w:r>
            <w:r w:rsidRPr="00401074">
              <w:t>se</w:t>
            </w:r>
            <w:r w:rsidRPr="002B732D">
              <w:t xml:space="preserve"> </w:t>
            </w:r>
            <w:r>
              <w:t xml:space="preserve">bill </w:t>
            </w:r>
            <w:r w:rsidRPr="002B732D">
              <w:t>provisions</w:t>
            </w:r>
            <w:r>
              <w:t xml:space="preserve"> </w:t>
            </w:r>
            <w:r>
              <w:t xml:space="preserve">to a lot </w:t>
            </w:r>
            <w:r>
              <w:lastRenderedPageBreak/>
              <w:t>that is owned by an individual, firm, corporation, or other legal entity that directly or indirectly offers lots for sale or lease a</w:t>
            </w:r>
            <w:r>
              <w:t xml:space="preserve">s part of a common promotional plan in the ordinary course of business and </w:t>
            </w:r>
            <w:r>
              <w:t xml:space="preserve">requires </w:t>
            </w:r>
            <w:r>
              <w:t xml:space="preserve">each regulation or standard </w:t>
            </w:r>
            <w:r>
              <w:t>to</w:t>
            </w:r>
            <w:r>
              <w:t xml:space="preserve"> expressly state that limitation. </w:t>
            </w:r>
            <w:r>
              <w:t>The bill defines</w:t>
            </w:r>
            <w:r>
              <w:t xml:space="preserve"> "common promotional plan" </w:t>
            </w:r>
            <w:r>
              <w:t>a</w:t>
            </w:r>
            <w:r>
              <w:t>s a plan or scheme of operation undertaken by a person or a grou</w:t>
            </w:r>
            <w:r>
              <w:t xml:space="preserve">p acting in concert, either personally or through an agent, to offer for sale or lease more </w:t>
            </w:r>
            <w:r>
              <w:t>than two lots when the land is c</w:t>
            </w:r>
            <w:r>
              <w:t>ontiguous or part of the same area of land or</w:t>
            </w:r>
            <w:r>
              <w:t xml:space="preserve"> is</w:t>
            </w:r>
            <w:r>
              <w:t xml:space="preserve"> known, designated, or advertised as a common unit or by a common name.</w:t>
            </w:r>
            <w:r>
              <w:t xml:space="preserve"> The bill</w:t>
            </w:r>
            <w:r>
              <w:t xml:space="preserve"> </w:t>
            </w:r>
            <w:r>
              <w:t>pro</w:t>
            </w:r>
            <w:r>
              <w:t xml:space="preserve">hibits </w:t>
            </w:r>
            <w:r>
              <w:t>a</w:t>
            </w:r>
            <w:r>
              <w:t xml:space="preserve"> county from applying an order </w:t>
            </w:r>
            <w:r w:rsidRPr="002B732D">
              <w:t>adopted under the</w:t>
            </w:r>
            <w:r w:rsidRPr="00401074">
              <w:t>se</w:t>
            </w:r>
            <w:r>
              <w:t xml:space="preserve"> bill</w:t>
            </w:r>
            <w:r w:rsidRPr="002B732D">
              <w:t xml:space="preserve"> provisions</w:t>
            </w:r>
            <w:r w:rsidRPr="000140C3">
              <w:t xml:space="preserve"> </w:t>
            </w:r>
            <w:r w:rsidRPr="002B732D">
              <w:t>to</w:t>
            </w:r>
            <w:r w:rsidRPr="00295201">
              <w:t xml:space="preserve"> a subdivision that is the subject of a judicial proceeding pending on May 1, 2017, to determine whether the subdivision is subject to a valid and existing subdivision plat.</w:t>
            </w:r>
          </w:p>
          <w:p w:rsidR="008423E4" w:rsidRPr="00835628" w:rsidRDefault="00F50E7B" w:rsidP="00A84518">
            <w:pPr>
              <w:rPr>
                <w:b/>
              </w:rPr>
            </w:pPr>
          </w:p>
        </w:tc>
      </w:tr>
      <w:tr w:rsidR="00DC1B4A" w:rsidTr="00345119">
        <w:tc>
          <w:tcPr>
            <w:tcW w:w="9576" w:type="dxa"/>
          </w:tcPr>
          <w:p w:rsidR="008423E4" w:rsidRPr="00A8133F" w:rsidRDefault="00F50E7B" w:rsidP="00A84518">
            <w:pPr>
              <w:rPr>
                <w:b/>
              </w:rPr>
            </w:pPr>
            <w:r w:rsidRPr="009C1E9A">
              <w:rPr>
                <w:b/>
                <w:u w:val="single"/>
              </w:rPr>
              <w:lastRenderedPageBreak/>
              <w:t>EFFECTIVE DATE</w:t>
            </w:r>
            <w:r>
              <w:rPr>
                <w:b/>
              </w:rPr>
              <w:t xml:space="preserve"> </w:t>
            </w:r>
          </w:p>
          <w:p w:rsidR="008423E4" w:rsidRDefault="00F50E7B" w:rsidP="00A84518"/>
          <w:p w:rsidR="008423E4" w:rsidRPr="003624F2" w:rsidRDefault="00F50E7B" w:rsidP="00A84518">
            <w:pPr>
              <w:pStyle w:val="Header"/>
              <w:tabs>
                <w:tab w:val="clear" w:pos="4320"/>
                <w:tab w:val="clear" w:pos="8640"/>
              </w:tabs>
              <w:jc w:val="both"/>
            </w:pPr>
            <w:r>
              <w:t>January 1, 2018.</w:t>
            </w:r>
          </w:p>
          <w:p w:rsidR="008423E4" w:rsidRPr="00233FDB" w:rsidRDefault="00F50E7B" w:rsidP="00A84518">
            <w:pPr>
              <w:rPr>
                <w:b/>
              </w:rPr>
            </w:pPr>
          </w:p>
        </w:tc>
      </w:tr>
    </w:tbl>
    <w:p w:rsidR="008423E4" w:rsidRPr="00BE0E75" w:rsidRDefault="00F50E7B" w:rsidP="008423E4">
      <w:pPr>
        <w:spacing w:line="480" w:lineRule="auto"/>
        <w:jc w:val="both"/>
        <w:rPr>
          <w:rFonts w:ascii="Arial" w:hAnsi="Arial"/>
          <w:sz w:val="16"/>
          <w:szCs w:val="16"/>
        </w:rPr>
      </w:pPr>
    </w:p>
    <w:p w:rsidR="004108C3" w:rsidRPr="008423E4" w:rsidRDefault="00F50E7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0E7B">
      <w:r>
        <w:separator/>
      </w:r>
    </w:p>
  </w:endnote>
  <w:endnote w:type="continuationSeparator" w:id="0">
    <w:p w:rsidR="00000000" w:rsidRDefault="00F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1B4A" w:rsidTr="009C1E9A">
      <w:trPr>
        <w:cantSplit/>
      </w:trPr>
      <w:tc>
        <w:tcPr>
          <w:tcW w:w="0" w:type="pct"/>
        </w:tcPr>
        <w:p w:rsidR="00137D90" w:rsidRDefault="00F50E7B" w:rsidP="009C1E9A">
          <w:pPr>
            <w:pStyle w:val="Footer"/>
            <w:tabs>
              <w:tab w:val="clear" w:pos="8640"/>
              <w:tab w:val="right" w:pos="9360"/>
            </w:tabs>
          </w:pPr>
        </w:p>
      </w:tc>
      <w:tc>
        <w:tcPr>
          <w:tcW w:w="2395" w:type="pct"/>
        </w:tcPr>
        <w:p w:rsidR="00137D90" w:rsidRDefault="00F50E7B" w:rsidP="009C1E9A">
          <w:pPr>
            <w:pStyle w:val="Footer"/>
            <w:tabs>
              <w:tab w:val="clear" w:pos="8640"/>
              <w:tab w:val="right" w:pos="9360"/>
            </w:tabs>
          </w:pPr>
        </w:p>
        <w:p w:rsidR="001A4310" w:rsidRDefault="00F50E7B" w:rsidP="009C1E9A">
          <w:pPr>
            <w:pStyle w:val="Footer"/>
            <w:tabs>
              <w:tab w:val="clear" w:pos="8640"/>
              <w:tab w:val="right" w:pos="9360"/>
            </w:tabs>
          </w:pPr>
        </w:p>
        <w:p w:rsidR="00137D90" w:rsidRDefault="00F50E7B" w:rsidP="009C1E9A">
          <w:pPr>
            <w:pStyle w:val="Footer"/>
            <w:tabs>
              <w:tab w:val="clear" w:pos="8640"/>
              <w:tab w:val="right" w:pos="9360"/>
            </w:tabs>
          </w:pPr>
        </w:p>
      </w:tc>
      <w:tc>
        <w:tcPr>
          <w:tcW w:w="2453" w:type="pct"/>
        </w:tcPr>
        <w:p w:rsidR="00137D90" w:rsidRDefault="00F50E7B" w:rsidP="009C1E9A">
          <w:pPr>
            <w:pStyle w:val="Footer"/>
            <w:tabs>
              <w:tab w:val="clear" w:pos="8640"/>
              <w:tab w:val="right" w:pos="9360"/>
            </w:tabs>
            <w:jc w:val="right"/>
          </w:pPr>
        </w:p>
      </w:tc>
    </w:tr>
    <w:tr w:rsidR="00DC1B4A" w:rsidTr="009C1E9A">
      <w:trPr>
        <w:cantSplit/>
      </w:trPr>
      <w:tc>
        <w:tcPr>
          <w:tcW w:w="0" w:type="pct"/>
        </w:tcPr>
        <w:p w:rsidR="00EC379B" w:rsidRDefault="00F50E7B" w:rsidP="009C1E9A">
          <w:pPr>
            <w:pStyle w:val="Footer"/>
            <w:tabs>
              <w:tab w:val="clear" w:pos="8640"/>
              <w:tab w:val="right" w:pos="9360"/>
            </w:tabs>
          </w:pPr>
        </w:p>
      </w:tc>
      <w:tc>
        <w:tcPr>
          <w:tcW w:w="2395" w:type="pct"/>
        </w:tcPr>
        <w:p w:rsidR="00EC379B" w:rsidRPr="009C1E9A" w:rsidRDefault="00F50E7B" w:rsidP="009C1E9A">
          <w:pPr>
            <w:pStyle w:val="Footer"/>
            <w:tabs>
              <w:tab w:val="clear" w:pos="8640"/>
              <w:tab w:val="right" w:pos="9360"/>
            </w:tabs>
            <w:rPr>
              <w:rFonts w:ascii="Shruti" w:hAnsi="Shruti"/>
              <w:sz w:val="22"/>
            </w:rPr>
          </w:pPr>
          <w:r>
            <w:rPr>
              <w:rFonts w:ascii="Shruti" w:hAnsi="Shruti"/>
              <w:sz w:val="22"/>
            </w:rPr>
            <w:t>85R 31256</w:t>
          </w:r>
        </w:p>
      </w:tc>
      <w:tc>
        <w:tcPr>
          <w:tcW w:w="2453" w:type="pct"/>
        </w:tcPr>
        <w:p w:rsidR="00EC379B" w:rsidRDefault="00F50E7B" w:rsidP="009C1E9A">
          <w:pPr>
            <w:pStyle w:val="Footer"/>
            <w:tabs>
              <w:tab w:val="clear" w:pos="8640"/>
              <w:tab w:val="right" w:pos="9360"/>
            </w:tabs>
            <w:jc w:val="right"/>
          </w:pPr>
          <w:r>
            <w:fldChar w:fldCharType="begin"/>
          </w:r>
          <w:r>
            <w:instrText xml:space="preserve"> DOCPROPERTY  OTID  \* MERGEFORMAT </w:instrText>
          </w:r>
          <w:r>
            <w:fldChar w:fldCharType="separate"/>
          </w:r>
          <w:r>
            <w:t>17.136.1043</w:t>
          </w:r>
          <w:r>
            <w:fldChar w:fldCharType="end"/>
          </w:r>
        </w:p>
      </w:tc>
    </w:tr>
    <w:tr w:rsidR="00DC1B4A" w:rsidTr="009C1E9A">
      <w:trPr>
        <w:cantSplit/>
      </w:trPr>
      <w:tc>
        <w:tcPr>
          <w:tcW w:w="0" w:type="pct"/>
        </w:tcPr>
        <w:p w:rsidR="00EC379B" w:rsidRDefault="00F50E7B" w:rsidP="009C1E9A">
          <w:pPr>
            <w:pStyle w:val="Footer"/>
            <w:tabs>
              <w:tab w:val="clear" w:pos="4320"/>
              <w:tab w:val="clear" w:pos="8640"/>
              <w:tab w:val="left" w:pos="2865"/>
            </w:tabs>
          </w:pPr>
        </w:p>
      </w:tc>
      <w:tc>
        <w:tcPr>
          <w:tcW w:w="2395" w:type="pct"/>
        </w:tcPr>
        <w:p w:rsidR="00EC379B" w:rsidRPr="009C1E9A" w:rsidRDefault="00F50E7B" w:rsidP="009C1E9A">
          <w:pPr>
            <w:pStyle w:val="Footer"/>
            <w:tabs>
              <w:tab w:val="clear" w:pos="4320"/>
              <w:tab w:val="clear" w:pos="8640"/>
              <w:tab w:val="left" w:pos="2865"/>
            </w:tabs>
            <w:rPr>
              <w:rFonts w:ascii="Shruti" w:hAnsi="Shruti"/>
              <w:sz w:val="22"/>
            </w:rPr>
          </w:pPr>
        </w:p>
      </w:tc>
      <w:tc>
        <w:tcPr>
          <w:tcW w:w="2453" w:type="pct"/>
        </w:tcPr>
        <w:p w:rsidR="00EC379B" w:rsidRDefault="00F50E7B" w:rsidP="006D504F">
          <w:pPr>
            <w:pStyle w:val="Footer"/>
            <w:rPr>
              <w:rStyle w:val="PageNumber"/>
            </w:rPr>
          </w:pPr>
        </w:p>
        <w:p w:rsidR="00EC379B" w:rsidRDefault="00F50E7B" w:rsidP="009C1E9A">
          <w:pPr>
            <w:pStyle w:val="Footer"/>
            <w:tabs>
              <w:tab w:val="clear" w:pos="8640"/>
              <w:tab w:val="right" w:pos="9360"/>
            </w:tabs>
            <w:jc w:val="right"/>
          </w:pPr>
        </w:p>
      </w:tc>
    </w:tr>
    <w:tr w:rsidR="00DC1B4A" w:rsidTr="009C1E9A">
      <w:trPr>
        <w:cantSplit/>
        <w:trHeight w:val="323"/>
      </w:trPr>
      <w:tc>
        <w:tcPr>
          <w:tcW w:w="0" w:type="pct"/>
          <w:gridSpan w:val="3"/>
        </w:tcPr>
        <w:p w:rsidR="00EC379B" w:rsidRDefault="00F50E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0E7B" w:rsidP="009C1E9A">
          <w:pPr>
            <w:pStyle w:val="Footer"/>
            <w:tabs>
              <w:tab w:val="clear" w:pos="8640"/>
              <w:tab w:val="right" w:pos="9360"/>
            </w:tabs>
            <w:jc w:val="center"/>
          </w:pPr>
        </w:p>
      </w:tc>
    </w:tr>
  </w:tbl>
  <w:p w:rsidR="00EC379B" w:rsidRPr="00FF6F72" w:rsidRDefault="00F50E7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0E7B">
      <w:r>
        <w:separator/>
      </w:r>
    </w:p>
  </w:footnote>
  <w:footnote w:type="continuationSeparator" w:id="0">
    <w:p w:rsidR="00000000" w:rsidRDefault="00F50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4A"/>
    <w:rsid w:val="00DC1B4A"/>
    <w:rsid w:val="00F5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DE5"/>
    <w:rPr>
      <w:sz w:val="16"/>
      <w:szCs w:val="16"/>
    </w:rPr>
  </w:style>
  <w:style w:type="paragraph" w:styleId="CommentText">
    <w:name w:val="annotation text"/>
    <w:basedOn w:val="Normal"/>
    <w:link w:val="CommentTextChar"/>
    <w:rsid w:val="00CF0DE5"/>
    <w:rPr>
      <w:sz w:val="20"/>
      <w:szCs w:val="20"/>
    </w:rPr>
  </w:style>
  <w:style w:type="character" w:customStyle="1" w:styleId="CommentTextChar">
    <w:name w:val="Comment Text Char"/>
    <w:basedOn w:val="DefaultParagraphFont"/>
    <w:link w:val="CommentText"/>
    <w:rsid w:val="00CF0DE5"/>
  </w:style>
  <w:style w:type="paragraph" w:styleId="CommentSubject">
    <w:name w:val="annotation subject"/>
    <w:basedOn w:val="CommentText"/>
    <w:next w:val="CommentText"/>
    <w:link w:val="CommentSubjectChar"/>
    <w:rsid w:val="00CF0DE5"/>
    <w:rPr>
      <w:b/>
      <w:bCs/>
    </w:rPr>
  </w:style>
  <w:style w:type="character" w:customStyle="1" w:styleId="CommentSubjectChar">
    <w:name w:val="Comment Subject Char"/>
    <w:basedOn w:val="CommentTextChar"/>
    <w:link w:val="CommentSubject"/>
    <w:rsid w:val="00CF0DE5"/>
    <w:rPr>
      <w:b/>
      <w:bCs/>
    </w:rPr>
  </w:style>
  <w:style w:type="paragraph" w:styleId="HTMLPreformatted">
    <w:name w:val="HTML Preformatted"/>
    <w:basedOn w:val="Normal"/>
    <w:link w:val="HTMLPreformattedChar"/>
    <w:uiPriority w:val="99"/>
    <w:unhideWhenUsed/>
    <w:rsid w:val="00BC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4A1A"/>
    <w:rPr>
      <w:rFonts w:ascii="Courier New" w:hAnsi="Courier New" w:cs="Courier New"/>
    </w:rPr>
  </w:style>
  <w:style w:type="character" w:customStyle="1" w:styleId="apple-converted-space">
    <w:name w:val="apple-converted-space"/>
    <w:basedOn w:val="DefaultParagraphFont"/>
    <w:rsid w:val="00BC4A1A"/>
  </w:style>
  <w:style w:type="character" w:styleId="Hyperlink">
    <w:name w:val="Hyperlink"/>
    <w:basedOn w:val="DefaultParagraphFont"/>
    <w:uiPriority w:val="99"/>
    <w:unhideWhenUsed/>
    <w:rsid w:val="00BC4A1A"/>
    <w:rPr>
      <w:color w:val="0000FF"/>
      <w:u w:val="single"/>
    </w:rPr>
  </w:style>
  <w:style w:type="character" w:styleId="FollowedHyperlink">
    <w:name w:val="FollowedHyperlink"/>
    <w:basedOn w:val="DefaultParagraphFont"/>
    <w:rsid w:val="001026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DE5"/>
    <w:rPr>
      <w:sz w:val="16"/>
      <w:szCs w:val="16"/>
    </w:rPr>
  </w:style>
  <w:style w:type="paragraph" w:styleId="CommentText">
    <w:name w:val="annotation text"/>
    <w:basedOn w:val="Normal"/>
    <w:link w:val="CommentTextChar"/>
    <w:rsid w:val="00CF0DE5"/>
    <w:rPr>
      <w:sz w:val="20"/>
      <w:szCs w:val="20"/>
    </w:rPr>
  </w:style>
  <w:style w:type="character" w:customStyle="1" w:styleId="CommentTextChar">
    <w:name w:val="Comment Text Char"/>
    <w:basedOn w:val="DefaultParagraphFont"/>
    <w:link w:val="CommentText"/>
    <w:rsid w:val="00CF0DE5"/>
  </w:style>
  <w:style w:type="paragraph" w:styleId="CommentSubject">
    <w:name w:val="annotation subject"/>
    <w:basedOn w:val="CommentText"/>
    <w:next w:val="CommentText"/>
    <w:link w:val="CommentSubjectChar"/>
    <w:rsid w:val="00CF0DE5"/>
    <w:rPr>
      <w:b/>
      <w:bCs/>
    </w:rPr>
  </w:style>
  <w:style w:type="character" w:customStyle="1" w:styleId="CommentSubjectChar">
    <w:name w:val="Comment Subject Char"/>
    <w:basedOn w:val="CommentTextChar"/>
    <w:link w:val="CommentSubject"/>
    <w:rsid w:val="00CF0DE5"/>
    <w:rPr>
      <w:b/>
      <w:bCs/>
    </w:rPr>
  </w:style>
  <w:style w:type="paragraph" w:styleId="HTMLPreformatted">
    <w:name w:val="HTML Preformatted"/>
    <w:basedOn w:val="Normal"/>
    <w:link w:val="HTMLPreformattedChar"/>
    <w:uiPriority w:val="99"/>
    <w:unhideWhenUsed/>
    <w:rsid w:val="00BC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4A1A"/>
    <w:rPr>
      <w:rFonts w:ascii="Courier New" w:hAnsi="Courier New" w:cs="Courier New"/>
    </w:rPr>
  </w:style>
  <w:style w:type="character" w:customStyle="1" w:styleId="apple-converted-space">
    <w:name w:val="apple-converted-space"/>
    <w:basedOn w:val="DefaultParagraphFont"/>
    <w:rsid w:val="00BC4A1A"/>
  </w:style>
  <w:style w:type="character" w:styleId="Hyperlink">
    <w:name w:val="Hyperlink"/>
    <w:basedOn w:val="DefaultParagraphFont"/>
    <w:uiPriority w:val="99"/>
    <w:unhideWhenUsed/>
    <w:rsid w:val="00BC4A1A"/>
    <w:rPr>
      <w:color w:val="0000FF"/>
      <w:u w:val="single"/>
    </w:rPr>
  </w:style>
  <w:style w:type="character" w:styleId="FollowedHyperlink">
    <w:name w:val="FollowedHyperlink"/>
    <w:basedOn w:val="DefaultParagraphFont"/>
    <w:rsid w:val="00102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3350</Characters>
  <Application>Microsoft Office Word</Application>
  <DocSecurity>4</DocSecurity>
  <Lines>72</Lines>
  <Paragraphs>16</Paragraphs>
  <ScaleCrop>false</ScaleCrop>
  <HeadingPairs>
    <vt:vector size="2" baseType="variant">
      <vt:variant>
        <vt:lpstr>Title</vt:lpstr>
      </vt:variant>
      <vt:variant>
        <vt:i4>1</vt:i4>
      </vt:variant>
    </vt:vector>
  </HeadingPairs>
  <TitlesOfParts>
    <vt:vector size="1" baseType="lpstr">
      <vt:lpstr>BA - SB00692 (Committee Report (Unamended))</vt:lpstr>
    </vt:vector>
  </TitlesOfParts>
  <Company>State of Texas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31256</dc:subject>
  <dc:creator>State of Texas</dc:creator>
  <dc:description>SB 692 by Rodríguez-(H)County Affairs</dc:description>
  <cp:lastModifiedBy>Molly Hoffman-Bricker</cp:lastModifiedBy>
  <cp:revision>2</cp:revision>
  <cp:lastPrinted>2017-05-16T20:49:00Z</cp:lastPrinted>
  <dcterms:created xsi:type="dcterms:W3CDTF">2017-05-18T19:47:00Z</dcterms:created>
  <dcterms:modified xsi:type="dcterms:W3CDTF">2017-05-18T19:47:00Z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17.136.1043</vt:lpwstr>
  </property>
</Properties>
</file>