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A7730" w:rsidTr="00345119">
        <w:tc>
          <w:tcPr>
            <w:tcW w:w="9576" w:type="dxa"/>
            <w:noWrap/>
          </w:tcPr>
          <w:p w:rsidR="008423E4" w:rsidRPr="0022177D" w:rsidRDefault="005F79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F7975" w:rsidP="008423E4">
      <w:pPr>
        <w:jc w:val="center"/>
      </w:pPr>
    </w:p>
    <w:p w:rsidR="008423E4" w:rsidRPr="00B31F0E" w:rsidRDefault="005F7975" w:rsidP="008423E4"/>
    <w:p w:rsidR="008423E4" w:rsidRPr="00742794" w:rsidRDefault="005F79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7730" w:rsidTr="00345119">
        <w:tc>
          <w:tcPr>
            <w:tcW w:w="9576" w:type="dxa"/>
          </w:tcPr>
          <w:p w:rsidR="008423E4" w:rsidRPr="00861995" w:rsidRDefault="005F7975" w:rsidP="00345119">
            <w:pPr>
              <w:jc w:val="right"/>
            </w:pPr>
            <w:r>
              <w:t>S.B. 714</w:t>
            </w:r>
          </w:p>
        </w:tc>
      </w:tr>
      <w:tr w:rsidR="003A7730" w:rsidTr="00345119">
        <w:tc>
          <w:tcPr>
            <w:tcW w:w="9576" w:type="dxa"/>
          </w:tcPr>
          <w:p w:rsidR="008423E4" w:rsidRPr="00861995" w:rsidRDefault="005F7975" w:rsidP="00C36A23">
            <w:pPr>
              <w:jc w:val="right"/>
            </w:pPr>
            <w:r>
              <w:t xml:space="preserve">By: </w:t>
            </w:r>
            <w:r>
              <w:t>Seliger</w:t>
            </w:r>
          </w:p>
        </w:tc>
      </w:tr>
      <w:tr w:rsidR="003A7730" w:rsidTr="00345119">
        <w:tc>
          <w:tcPr>
            <w:tcW w:w="9576" w:type="dxa"/>
          </w:tcPr>
          <w:p w:rsidR="008423E4" w:rsidRPr="00861995" w:rsidRDefault="005F7975" w:rsidP="00345119">
            <w:pPr>
              <w:jc w:val="right"/>
            </w:pPr>
            <w:r>
              <w:t>Investments &amp; Financial Services</w:t>
            </w:r>
          </w:p>
        </w:tc>
      </w:tr>
      <w:tr w:rsidR="003A7730" w:rsidTr="00345119">
        <w:tc>
          <w:tcPr>
            <w:tcW w:w="9576" w:type="dxa"/>
          </w:tcPr>
          <w:p w:rsidR="008423E4" w:rsidRDefault="005F797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F7975" w:rsidP="008423E4">
      <w:pPr>
        <w:tabs>
          <w:tab w:val="right" w:pos="9360"/>
        </w:tabs>
      </w:pPr>
    </w:p>
    <w:p w:rsidR="008423E4" w:rsidRDefault="005F7975" w:rsidP="008423E4"/>
    <w:p w:rsidR="008423E4" w:rsidRDefault="005F79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A7730" w:rsidTr="00345119">
        <w:tc>
          <w:tcPr>
            <w:tcW w:w="9576" w:type="dxa"/>
          </w:tcPr>
          <w:p w:rsidR="008423E4" w:rsidRPr="00A8133F" w:rsidRDefault="005F7975" w:rsidP="006765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F7975" w:rsidP="0067654B"/>
          <w:p w:rsidR="008423E4" w:rsidRDefault="005F7975" w:rsidP="0067654B">
            <w:pPr>
              <w:pStyle w:val="Header"/>
              <w:jc w:val="both"/>
            </w:pPr>
            <w:r>
              <w:t xml:space="preserve">Interested parties assert that certain requirements relating to the way in which financial institutions must make certain </w:t>
            </w:r>
            <w:r>
              <w:t>disclosures to a customer opening an account at the institution are onerous</w:t>
            </w:r>
            <w:r>
              <w:t xml:space="preserve"> and confusing</w:t>
            </w:r>
            <w:r>
              <w:t xml:space="preserve">. </w:t>
            </w:r>
            <w:r w:rsidRPr="008F4036">
              <w:t>S.B. 714</w:t>
            </w:r>
            <w:r>
              <w:t xml:space="preserve"> seeks to revise these disclosure requirements</w:t>
            </w:r>
            <w:r>
              <w:t>.</w:t>
            </w:r>
          </w:p>
          <w:p w:rsidR="008423E4" w:rsidRPr="00E26B13" w:rsidRDefault="005F7975" w:rsidP="0067654B">
            <w:pPr>
              <w:rPr>
                <w:b/>
              </w:rPr>
            </w:pPr>
          </w:p>
        </w:tc>
      </w:tr>
      <w:tr w:rsidR="003A7730" w:rsidTr="00345119">
        <w:tc>
          <w:tcPr>
            <w:tcW w:w="9576" w:type="dxa"/>
          </w:tcPr>
          <w:p w:rsidR="0017725B" w:rsidRDefault="005F7975" w:rsidP="006765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F7975" w:rsidP="0067654B">
            <w:pPr>
              <w:rPr>
                <w:b/>
                <w:u w:val="single"/>
              </w:rPr>
            </w:pPr>
          </w:p>
          <w:p w:rsidR="00247E79" w:rsidRPr="00247E79" w:rsidRDefault="005F7975" w:rsidP="0067654B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F7975" w:rsidP="0067654B">
            <w:pPr>
              <w:rPr>
                <w:b/>
                <w:u w:val="single"/>
              </w:rPr>
            </w:pPr>
          </w:p>
        </w:tc>
      </w:tr>
      <w:tr w:rsidR="003A7730" w:rsidTr="00345119">
        <w:tc>
          <w:tcPr>
            <w:tcW w:w="9576" w:type="dxa"/>
          </w:tcPr>
          <w:p w:rsidR="008423E4" w:rsidRPr="00A8133F" w:rsidRDefault="005F7975" w:rsidP="006765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F7975" w:rsidP="0067654B"/>
          <w:p w:rsidR="00247E79" w:rsidRDefault="005F7975" w:rsidP="00676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5F7975" w:rsidP="0067654B">
            <w:pPr>
              <w:rPr>
                <w:b/>
              </w:rPr>
            </w:pPr>
          </w:p>
        </w:tc>
      </w:tr>
      <w:tr w:rsidR="003A7730" w:rsidTr="00345119">
        <w:tc>
          <w:tcPr>
            <w:tcW w:w="9576" w:type="dxa"/>
          </w:tcPr>
          <w:p w:rsidR="008423E4" w:rsidRPr="00A8133F" w:rsidRDefault="005F7975" w:rsidP="006765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F7975" w:rsidP="0067654B"/>
          <w:p w:rsidR="00831798" w:rsidRDefault="005F7975" w:rsidP="00676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F4036">
              <w:t>S.B. 714</w:t>
            </w:r>
            <w:r>
              <w:t xml:space="preserve"> amends the Estates Code to ad</w:t>
            </w:r>
            <w:r>
              <w:t xml:space="preserve">d </w:t>
            </w:r>
            <w:r>
              <w:t>an acknowledg</w:t>
            </w:r>
            <w:r>
              <w:t xml:space="preserve">ment provision and a signature line </w:t>
            </w:r>
            <w:r>
              <w:t xml:space="preserve">to </w:t>
            </w:r>
            <w:r>
              <w:t>the</w:t>
            </w:r>
            <w:r>
              <w:t xml:space="preserve"> </w:t>
            </w:r>
            <w:r w:rsidRPr="00AE0991">
              <w:t>uniform account form</w:t>
            </w:r>
            <w:r>
              <w:t xml:space="preserve"> </w:t>
            </w:r>
            <w:r>
              <w:t xml:space="preserve">a </w:t>
            </w:r>
            <w:r>
              <w:t>financ</w:t>
            </w:r>
            <w:r>
              <w:t>ial institution may</w:t>
            </w:r>
            <w:r>
              <w:t xml:space="preserve"> use to establish the type of account selected by </w:t>
            </w:r>
            <w:r>
              <w:t>the signer</w:t>
            </w:r>
            <w:r>
              <w:t xml:space="preserve">. </w:t>
            </w:r>
            <w:r>
              <w:t>The bill changes the time at which a financial institution is required to disclose the information provided in such a form to a customer from the time at which the custo</w:t>
            </w:r>
            <w:r>
              <w:t xml:space="preserve">mer selects or modifies an account to before the customer selects or modifies an account. </w:t>
            </w:r>
            <w:r>
              <w:t xml:space="preserve">The bill </w:t>
            </w:r>
            <w:r>
              <w:t xml:space="preserve">revises the conditions under which a </w:t>
            </w:r>
            <w:r>
              <w:t>financial institution</w:t>
            </w:r>
            <w:r>
              <w:t xml:space="preserve"> using such a form</w:t>
            </w:r>
            <w:r>
              <w:t xml:space="preserve"> </w:t>
            </w:r>
            <w:r>
              <w:t xml:space="preserve">is considered </w:t>
            </w:r>
            <w:r>
              <w:t xml:space="preserve">to have </w:t>
            </w:r>
            <w:r>
              <w:t xml:space="preserve">so disclosed </w:t>
            </w:r>
            <w:r>
              <w:t xml:space="preserve">such information </w:t>
            </w:r>
            <w:r>
              <w:t xml:space="preserve">by </w:t>
            </w:r>
            <w:r>
              <w:t>replacing</w:t>
            </w:r>
            <w:r>
              <w:t xml:space="preserve"> the </w:t>
            </w:r>
            <w:r>
              <w:t>condition</w:t>
            </w:r>
            <w:r>
              <w:t xml:space="preserve"> t</w:t>
            </w:r>
            <w:r>
              <w:t xml:space="preserve">hat </w:t>
            </w:r>
            <w:r>
              <w:t xml:space="preserve">the </w:t>
            </w:r>
            <w:r>
              <w:t>customer place the customer's initials</w:t>
            </w:r>
            <w:r>
              <w:t xml:space="preserve"> </w:t>
            </w:r>
            <w:r>
              <w:t xml:space="preserve">to the right of each paragraph of the form </w:t>
            </w:r>
            <w:r>
              <w:t xml:space="preserve">with the condition that </w:t>
            </w:r>
            <w:r>
              <w:t xml:space="preserve">the </w:t>
            </w:r>
            <w:r>
              <w:t xml:space="preserve">customer sign the </w:t>
            </w:r>
            <w:r>
              <w:t>acknowledgment provided at the end of the form.</w:t>
            </w:r>
          </w:p>
          <w:p w:rsidR="00831798" w:rsidRDefault="005F7975" w:rsidP="00676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30D4D" w:rsidRDefault="005F7975" w:rsidP="00676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F4036">
              <w:t>S.B. 714</w:t>
            </w:r>
            <w:r>
              <w:t xml:space="preserve"> clarifies that</w:t>
            </w:r>
            <w:r w:rsidRPr="00461156">
              <w:t xml:space="preserve"> </w:t>
            </w:r>
            <w:r>
              <w:t>a</w:t>
            </w:r>
            <w:r w:rsidRPr="00461156">
              <w:t xml:space="preserve"> </w:t>
            </w:r>
            <w:r w:rsidRPr="00461156">
              <w:t xml:space="preserve">financial institution </w:t>
            </w:r>
            <w:r>
              <w:t xml:space="preserve">that varies the format </w:t>
            </w:r>
            <w:r>
              <w:t xml:space="preserve">of the form </w:t>
            </w:r>
            <w:r>
              <w:t>may</w:t>
            </w:r>
            <w:r w:rsidRPr="00461156">
              <w:t xml:space="preserve"> </w:t>
            </w:r>
            <w:r w:rsidRPr="00461156">
              <w:t>disclose th</w:t>
            </w:r>
            <w:r>
              <w:t>e</w:t>
            </w:r>
            <w:r w:rsidRPr="00461156">
              <w:t xml:space="preserve"> information </w:t>
            </w:r>
            <w:r>
              <w:t xml:space="preserve">provided in such form </w:t>
            </w:r>
            <w:r w:rsidRPr="00461156">
              <w:t>as part of other account documentation if the disclosures are the first items of the documentation</w:t>
            </w:r>
            <w:r>
              <w:t xml:space="preserve"> and </w:t>
            </w:r>
            <w:r>
              <w:t xml:space="preserve">removes requirements </w:t>
            </w:r>
            <w:r>
              <w:t xml:space="preserve">relating to the timing, format, and language of such disclosure. </w:t>
            </w:r>
            <w:r>
              <w:t xml:space="preserve">The bill </w:t>
            </w:r>
            <w:r>
              <w:t xml:space="preserve">specifies </w:t>
            </w:r>
            <w:r>
              <w:t xml:space="preserve">that </w:t>
            </w:r>
            <w:r>
              <w:t>a</w:t>
            </w:r>
            <w:r>
              <w:t xml:space="preserve"> financial institution</w:t>
            </w:r>
            <w:r>
              <w:t>'s duty to</w:t>
            </w:r>
            <w:r>
              <w:t xml:space="preserve"> notify </w:t>
            </w:r>
            <w:r>
              <w:t xml:space="preserve">a </w:t>
            </w:r>
            <w:r>
              <w:t xml:space="preserve">customer of the type of account the customer selected is satisfied by </w:t>
            </w:r>
            <w:r w:rsidRPr="00503A56">
              <w:t>providing the customer with a copy of the account opening or modification documentation, as appropriate, in paper or el</w:t>
            </w:r>
            <w:r w:rsidRPr="00503A56">
              <w:t>ectronic format.</w:t>
            </w:r>
            <w:r>
              <w:t xml:space="preserve"> </w:t>
            </w:r>
            <w:r>
              <w:t xml:space="preserve">The bill establishes that </w:t>
            </w:r>
            <w:r>
              <w:t>a</w:t>
            </w:r>
            <w:r w:rsidRPr="00247E79">
              <w:t xml:space="preserve"> financial institution is not required to make a disclosure about </w:t>
            </w:r>
            <w:r>
              <w:t>a</w:t>
            </w:r>
            <w:r w:rsidRPr="00247E79">
              <w:t xml:space="preserve"> </w:t>
            </w:r>
            <w:r w:rsidRPr="00247E79">
              <w:t xml:space="preserve">type of </w:t>
            </w:r>
            <w:r>
              <w:t xml:space="preserve">multi-party </w:t>
            </w:r>
            <w:r w:rsidRPr="00247E79">
              <w:t>account</w:t>
            </w:r>
            <w:r>
              <w:t xml:space="preserve"> </w:t>
            </w:r>
            <w:r>
              <w:t>that</w:t>
            </w:r>
            <w:r w:rsidRPr="00247E79">
              <w:t xml:space="preserve"> is not available from </w:t>
            </w:r>
            <w:r>
              <w:t>the</w:t>
            </w:r>
            <w:r w:rsidRPr="00247E79">
              <w:t xml:space="preserve"> financial institution</w:t>
            </w:r>
            <w:r>
              <w:t>.</w:t>
            </w:r>
          </w:p>
          <w:p w:rsidR="00C30D4D" w:rsidRDefault="005F7975" w:rsidP="00676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47E79" w:rsidRDefault="005F7975" w:rsidP="00676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714</w:t>
            </w:r>
            <w:r>
              <w:t xml:space="preserve"> </w:t>
            </w:r>
            <w:r>
              <w:t>exempts</w:t>
            </w:r>
            <w:r>
              <w:t xml:space="preserve"> from these disclosure provisions</w:t>
            </w:r>
            <w:r>
              <w:t xml:space="preserve"> </w:t>
            </w:r>
            <w:r>
              <w:t xml:space="preserve">an account </w:t>
            </w:r>
            <w:r>
              <w:t>that is opened or modified by a customer who is a legal entity, including a governmental entity</w:t>
            </w:r>
            <w:r>
              <w:t>,</w:t>
            </w:r>
            <w:r>
              <w:t xml:space="preserve"> or </w:t>
            </w:r>
            <w:r>
              <w:t xml:space="preserve">who </w:t>
            </w:r>
            <w:r>
              <w:t>is acting as a legal representative for another person.</w:t>
            </w:r>
          </w:p>
          <w:p w:rsidR="008423E4" w:rsidRPr="00835628" w:rsidRDefault="005F7975" w:rsidP="0067654B">
            <w:pPr>
              <w:rPr>
                <w:b/>
              </w:rPr>
            </w:pPr>
          </w:p>
        </w:tc>
      </w:tr>
      <w:tr w:rsidR="003A7730" w:rsidTr="00345119">
        <w:tc>
          <w:tcPr>
            <w:tcW w:w="9576" w:type="dxa"/>
          </w:tcPr>
          <w:p w:rsidR="008423E4" w:rsidRPr="00A8133F" w:rsidRDefault="005F7975" w:rsidP="006765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F7975" w:rsidP="0067654B"/>
          <w:p w:rsidR="008423E4" w:rsidRPr="0067654B" w:rsidRDefault="005F7975" w:rsidP="006765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5F797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7975">
      <w:r>
        <w:separator/>
      </w:r>
    </w:p>
  </w:endnote>
  <w:endnote w:type="continuationSeparator" w:id="0">
    <w:p w:rsidR="00000000" w:rsidRDefault="005F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7730" w:rsidTr="009C1E9A">
      <w:trPr>
        <w:cantSplit/>
      </w:trPr>
      <w:tc>
        <w:tcPr>
          <w:tcW w:w="0" w:type="pct"/>
        </w:tcPr>
        <w:p w:rsidR="00137D90" w:rsidRDefault="005F79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F79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F79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F79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7730" w:rsidTr="009C1E9A">
      <w:trPr>
        <w:cantSplit/>
      </w:trPr>
      <w:tc>
        <w:tcPr>
          <w:tcW w:w="0" w:type="pct"/>
        </w:tcPr>
        <w:p w:rsidR="00EC379B" w:rsidRDefault="005F79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F79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30387</w:t>
          </w:r>
        </w:p>
      </w:tc>
      <w:tc>
        <w:tcPr>
          <w:tcW w:w="2453" w:type="pct"/>
        </w:tcPr>
        <w:p w:rsidR="00EC379B" w:rsidRDefault="005F79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17.131.546</w:t>
          </w:r>
          <w:r>
            <w:fldChar w:fldCharType="end"/>
          </w:r>
        </w:p>
      </w:tc>
    </w:tr>
    <w:tr w:rsidR="003A7730" w:rsidTr="009C1E9A">
      <w:trPr>
        <w:cantSplit/>
      </w:trPr>
      <w:tc>
        <w:tcPr>
          <w:tcW w:w="0" w:type="pct"/>
        </w:tcPr>
        <w:p w:rsidR="00EC379B" w:rsidRDefault="005F79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F79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F7975" w:rsidP="006D504F">
          <w:pPr>
            <w:pStyle w:val="Footer"/>
            <w:rPr>
              <w:rStyle w:val="PageNumber"/>
            </w:rPr>
          </w:pPr>
        </w:p>
        <w:p w:rsidR="00EC379B" w:rsidRDefault="005F79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773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F79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F79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F79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7975">
      <w:r>
        <w:separator/>
      </w:r>
    </w:p>
  </w:footnote>
  <w:footnote w:type="continuationSeparator" w:id="0">
    <w:p w:rsidR="00000000" w:rsidRDefault="005F7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30"/>
    <w:rsid w:val="003A7730"/>
    <w:rsid w:val="005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E10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0EE"/>
  </w:style>
  <w:style w:type="paragraph" w:styleId="CommentSubject">
    <w:name w:val="annotation subject"/>
    <w:basedOn w:val="CommentText"/>
    <w:next w:val="CommentText"/>
    <w:link w:val="CommentSubjectChar"/>
    <w:rsid w:val="003E1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E10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0EE"/>
  </w:style>
  <w:style w:type="paragraph" w:styleId="CommentSubject">
    <w:name w:val="annotation subject"/>
    <w:basedOn w:val="CommentText"/>
    <w:next w:val="CommentText"/>
    <w:link w:val="CommentSubjectChar"/>
    <w:rsid w:val="003E1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2292</Characters>
  <Application>Microsoft Office Word</Application>
  <DocSecurity>4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SB00714 (Committee Report (Unamended))</vt:lpstr>
    </vt:vector>
  </TitlesOfParts>
  <Company>State of Texas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30387</dc:subject>
  <dc:creator>State of Texas</dc:creator>
  <dc:description>SB 714 by Seliger-(H)Investments &amp; Financial Services</dc:description>
  <cp:lastModifiedBy>Molly Hoffman-Bricker</cp:lastModifiedBy>
  <cp:revision>2</cp:revision>
  <cp:lastPrinted>2017-05-11T19:10:00Z</cp:lastPrinted>
  <dcterms:created xsi:type="dcterms:W3CDTF">2017-05-11T21:16:00Z</dcterms:created>
  <dcterms:modified xsi:type="dcterms:W3CDTF">2017-05-11T21:16:00Z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17.131.546</vt:lpwstr>
  </property>
</Properties>
</file>