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51F5A" w:rsidTr="00345119">
        <w:tc>
          <w:tcPr>
            <w:tcW w:w="9576" w:type="dxa"/>
            <w:noWrap/>
          </w:tcPr>
          <w:p w:rsidR="008423E4" w:rsidRPr="0022177D" w:rsidRDefault="000E51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E51BF" w:rsidP="008423E4">
      <w:pPr>
        <w:jc w:val="center"/>
      </w:pPr>
    </w:p>
    <w:p w:rsidR="008423E4" w:rsidRPr="00B31F0E" w:rsidRDefault="000E51BF" w:rsidP="008423E4"/>
    <w:p w:rsidR="008423E4" w:rsidRPr="00742794" w:rsidRDefault="000E51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51F5A" w:rsidTr="00345119">
        <w:tc>
          <w:tcPr>
            <w:tcW w:w="9576" w:type="dxa"/>
          </w:tcPr>
          <w:p w:rsidR="008423E4" w:rsidRPr="00861995" w:rsidRDefault="000E51BF" w:rsidP="00345119">
            <w:pPr>
              <w:jc w:val="right"/>
            </w:pPr>
            <w:r>
              <w:t>S.B. 731</w:t>
            </w:r>
          </w:p>
        </w:tc>
      </w:tr>
      <w:tr w:rsidR="00551F5A" w:rsidTr="00345119">
        <w:tc>
          <w:tcPr>
            <w:tcW w:w="9576" w:type="dxa"/>
          </w:tcPr>
          <w:p w:rsidR="008423E4" w:rsidRPr="00861995" w:rsidRDefault="000E51BF" w:rsidP="00345119">
            <w:pPr>
              <w:jc w:val="right"/>
            </w:pPr>
            <w:r>
              <w:t xml:space="preserve">By: </w:t>
            </w:r>
            <w:r>
              <w:t>Bettencourt</w:t>
            </w:r>
          </w:p>
        </w:tc>
      </w:tr>
      <w:tr w:rsidR="00551F5A" w:rsidTr="00345119">
        <w:tc>
          <w:tcPr>
            <w:tcW w:w="9576" w:type="dxa"/>
          </w:tcPr>
          <w:p w:rsidR="008423E4" w:rsidRPr="00861995" w:rsidRDefault="000E51BF" w:rsidP="00345119">
            <w:pPr>
              <w:jc w:val="right"/>
            </w:pPr>
            <w:r>
              <w:t>Ways &amp; Means</w:t>
            </w:r>
          </w:p>
        </w:tc>
      </w:tr>
      <w:tr w:rsidR="00551F5A" w:rsidTr="00345119">
        <w:tc>
          <w:tcPr>
            <w:tcW w:w="9576" w:type="dxa"/>
          </w:tcPr>
          <w:p w:rsidR="008423E4" w:rsidRDefault="000E51B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E51BF" w:rsidP="008423E4">
      <w:pPr>
        <w:tabs>
          <w:tab w:val="right" w:pos="9360"/>
        </w:tabs>
      </w:pPr>
    </w:p>
    <w:p w:rsidR="008423E4" w:rsidRDefault="000E51BF" w:rsidP="008423E4"/>
    <w:p w:rsidR="008423E4" w:rsidRDefault="000E51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51F5A" w:rsidTr="00345119">
        <w:tc>
          <w:tcPr>
            <w:tcW w:w="9576" w:type="dxa"/>
          </w:tcPr>
          <w:p w:rsidR="008423E4" w:rsidRPr="00A8133F" w:rsidRDefault="000E51BF" w:rsidP="003310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E51BF" w:rsidP="0033109C"/>
          <w:p w:rsidR="008423E4" w:rsidRDefault="000E51BF" w:rsidP="0033109C">
            <w:pPr>
              <w:pStyle w:val="Header"/>
              <w:jc w:val="both"/>
            </w:pPr>
            <w:r>
              <w:t xml:space="preserve">Interested parties contend that more property owners should be able to take their property tax protests to binding arbitration by </w:t>
            </w:r>
            <w:r>
              <w:t>qualifying more properties for arbitration. S.B. 731 seeks to address this issue by increasing the maximum appraised or market value of property that triggers a property owner's entitlement to appeal certain appraisal review board orders through such arbit</w:t>
            </w:r>
            <w:r>
              <w:t>ration.</w:t>
            </w:r>
          </w:p>
          <w:p w:rsidR="008423E4" w:rsidRPr="00E26B13" w:rsidRDefault="000E51BF" w:rsidP="0033109C">
            <w:pPr>
              <w:rPr>
                <w:b/>
              </w:rPr>
            </w:pPr>
          </w:p>
        </w:tc>
      </w:tr>
      <w:tr w:rsidR="00551F5A" w:rsidTr="00345119">
        <w:tc>
          <w:tcPr>
            <w:tcW w:w="9576" w:type="dxa"/>
          </w:tcPr>
          <w:p w:rsidR="0017725B" w:rsidRDefault="000E51BF" w:rsidP="003310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E51BF" w:rsidP="0033109C">
            <w:pPr>
              <w:rPr>
                <w:b/>
                <w:u w:val="single"/>
              </w:rPr>
            </w:pPr>
          </w:p>
          <w:p w:rsidR="00847CDB" w:rsidRPr="00847CDB" w:rsidRDefault="000E51BF" w:rsidP="0033109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</w:t>
            </w:r>
            <w:r>
              <w:t>ity supervision, parole, or mandatory supervision.</w:t>
            </w:r>
          </w:p>
          <w:p w:rsidR="0017725B" w:rsidRPr="0017725B" w:rsidRDefault="000E51BF" w:rsidP="0033109C">
            <w:pPr>
              <w:rPr>
                <w:b/>
                <w:u w:val="single"/>
              </w:rPr>
            </w:pPr>
          </w:p>
        </w:tc>
      </w:tr>
      <w:tr w:rsidR="00551F5A" w:rsidTr="00345119">
        <w:tc>
          <w:tcPr>
            <w:tcW w:w="9576" w:type="dxa"/>
          </w:tcPr>
          <w:p w:rsidR="008423E4" w:rsidRPr="00A8133F" w:rsidRDefault="000E51BF" w:rsidP="003310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E51BF" w:rsidP="0033109C"/>
          <w:p w:rsidR="00847CDB" w:rsidRDefault="000E51BF" w:rsidP="003310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E51BF" w:rsidP="0033109C">
            <w:pPr>
              <w:rPr>
                <w:b/>
              </w:rPr>
            </w:pPr>
          </w:p>
        </w:tc>
      </w:tr>
      <w:tr w:rsidR="00551F5A" w:rsidTr="00345119">
        <w:tc>
          <w:tcPr>
            <w:tcW w:w="9576" w:type="dxa"/>
          </w:tcPr>
          <w:p w:rsidR="008423E4" w:rsidRPr="00A8133F" w:rsidRDefault="000E51BF" w:rsidP="003310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E51BF" w:rsidP="0033109C"/>
          <w:p w:rsidR="008423E4" w:rsidRDefault="000E51BF" w:rsidP="003310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731 amends the Tax Code to </w:t>
            </w:r>
            <w:r>
              <w:t>increase from $3 million to $5 million the maximum</w:t>
            </w:r>
            <w:r>
              <w:t xml:space="preserve"> appraised or market value of property</w:t>
            </w:r>
            <w:r>
              <w:t xml:space="preserve"> </w:t>
            </w:r>
            <w:r>
              <w:t>as determined by an appraisal review board order determining a protest concerning the value of the property that triggers a property</w:t>
            </w:r>
            <w:r>
              <w:t xml:space="preserve"> ow</w:t>
            </w:r>
            <w:r>
              <w:t>ner</w:t>
            </w:r>
            <w:r>
              <w:t>'s</w:t>
            </w:r>
            <w:r>
              <w:t xml:space="preserve"> entitle</w:t>
            </w:r>
            <w:r>
              <w:t>ment</w:t>
            </w:r>
            <w:r>
              <w:t xml:space="preserve"> to appeal </w:t>
            </w:r>
            <w:r>
              <w:t xml:space="preserve">such an order </w:t>
            </w:r>
            <w:r>
              <w:t>through binding arbitration</w:t>
            </w:r>
            <w:r>
              <w:t>.</w:t>
            </w:r>
            <w:r>
              <w:t xml:space="preserve"> The bill </w:t>
            </w:r>
            <w:r>
              <w:t xml:space="preserve">sets the amount of the arbitration deposit to </w:t>
            </w:r>
            <w:r w:rsidRPr="00490A98">
              <w:t xml:space="preserve">appeal an appraisal review board order </w:t>
            </w:r>
            <w:r>
              <w:t>through binding arbitration</w:t>
            </w:r>
            <w:r>
              <w:t xml:space="preserve"> at </w:t>
            </w:r>
            <w:r w:rsidRPr="00577962">
              <w:t xml:space="preserve">$1,550 if the property does not qualify as the owner's </w:t>
            </w:r>
            <w:r w:rsidRPr="00577962">
              <w:t>residence homestead</w:t>
            </w:r>
            <w:r>
              <w:t xml:space="preserve"> </w:t>
            </w:r>
            <w:r w:rsidRPr="00B91F5F">
              <w:t>under statutory provisions concerning residence homestead exemptions</w:t>
            </w:r>
            <w:r w:rsidRPr="00577962">
              <w:t xml:space="preserve"> and the appraised or market value, as applicable, of the property is more than $3 million but not more than $5 million, as determined by the order.</w:t>
            </w:r>
            <w:r>
              <w:t xml:space="preserve"> The bill</w:t>
            </w:r>
            <w:r>
              <w:t>, with rega</w:t>
            </w:r>
            <w:r>
              <w:t>rd to the same property,</w:t>
            </w:r>
            <w:r>
              <w:t xml:space="preserve"> </w:t>
            </w:r>
            <w:r>
              <w:t xml:space="preserve">sets the </w:t>
            </w:r>
            <w:r>
              <w:t>maximum</w:t>
            </w:r>
            <w:r>
              <w:t xml:space="preserve"> fee for which </w:t>
            </w:r>
            <w:r>
              <w:t>a</w:t>
            </w:r>
            <w:r>
              <w:t>n</w:t>
            </w:r>
            <w:r>
              <w:t xml:space="preserve"> </w:t>
            </w:r>
            <w:r>
              <w:t xml:space="preserve">eligible </w:t>
            </w:r>
            <w:r>
              <w:t xml:space="preserve">person </w:t>
            </w:r>
            <w:r w:rsidRPr="00577962">
              <w:t xml:space="preserve">must agree to conduct an arbitration </w:t>
            </w:r>
            <w:r>
              <w:t>to qualify to serve as an arbitrator at</w:t>
            </w:r>
            <w:r>
              <w:t xml:space="preserve"> $1,500</w:t>
            </w:r>
            <w:r>
              <w:t>.</w:t>
            </w:r>
          </w:p>
          <w:p w:rsidR="008423E4" w:rsidRPr="00835628" w:rsidRDefault="000E51BF" w:rsidP="0033109C">
            <w:pPr>
              <w:rPr>
                <w:b/>
              </w:rPr>
            </w:pPr>
          </w:p>
        </w:tc>
      </w:tr>
      <w:tr w:rsidR="00551F5A" w:rsidTr="00345119">
        <w:tc>
          <w:tcPr>
            <w:tcW w:w="9576" w:type="dxa"/>
          </w:tcPr>
          <w:p w:rsidR="008423E4" w:rsidRPr="00A8133F" w:rsidRDefault="000E51BF" w:rsidP="003310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E51BF" w:rsidP="0033109C"/>
          <w:p w:rsidR="008423E4" w:rsidRPr="003624F2" w:rsidRDefault="000E51BF" w:rsidP="003310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E51BF" w:rsidP="0033109C">
            <w:pPr>
              <w:rPr>
                <w:b/>
              </w:rPr>
            </w:pPr>
          </w:p>
        </w:tc>
      </w:tr>
    </w:tbl>
    <w:p w:rsidR="008423E4" w:rsidRPr="00BE0E75" w:rsidRDefault="000E51B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E51BF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E51BF">
      <w:r>
        <w:separator/>
      </w:r>
    </w:p>
  </w:endnote>
  <w:endnote w:type="continuationSeparator" w:id="0">
    <w:p w:rsidR="00000000" w:rsidRDefault="000E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51F5A" w:rsidTr="009C1E9A">
      <w:trPr>
        <w:cantSplit/>
      </w:trPr>
      <w:tc>
        <w:tcPr>
          <w:tcW w:w="0" w:type="pct"/>
        </w:tcPr>
        <w:p w:rsidR="00137D90" w:rsidRDefault="000E51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E51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E51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E51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E51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1F5A" w:rsidTr="009C1E9A">
      <w:trPr>
        <w:cantSplit/>
      </w:trPr>
      <w:tc>
        <w:tcPr>
          <w:tcW w:w="0" w:type="pct"/>
        </w:tcPr>
        <w:p w:rsidR="00EC379B" w:rsidRDefault="000E51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E51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30821</w:t>
          </w:r>
        </w:p>
      </w:tc>
      <w:tc>
        <w:tcPr>
          <w:tcW w:w="2453" w:type="pct"/>
        </w:tcPr>
        <w:p w:rsidR="00EC379B" w:rsidRDefault="000E51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17.135.72</w:t>
          </w:r>
          <w:r>
            <w:fldChar w:fldCharType="end"/>
          </w:r>
        </w:p>
      </w:tc>
    </w:tr>
    <w:tr w:rsidR="00551F5A" w:rsidTr="009C1E9A">
      <w:trPr>
        <w:cantSplit/>
      </w:trPr>
      <w:tc>
        <w:tcPr>
          <w:tcW w:w="0" w:type="pct"/>
        </w:tcPr>
        <w:p w:rsidR="00EC379B" w:rsidRDefault="000E51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E51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E51BF" w:rsidP="006D504F">
          <w:pPr>
            <w:pStyle w:val="Footer"/>
            <w:rPr>
              <w:rStyle w:val="PageNumber"/>
            </w:rPr>
          </w:pPr>
        </w:p>
        <w:p w:rsidR="00EC379B" w:rsidRDefault="000E51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51F5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E51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E51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E51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E51BF">
      <w:r>
        <w:separator/>
      </w:r>
    </w:p>
  </w:footnote>
  <w:footnote w:type="continuationSeparator" w:id="0">
    <w:p w:rsidR="00000000" w:rsidRDefault="000E5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5A"/>
    <w:rsid w:val="000E51BF"/>
    <w:rsid w:val="0055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90A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0A98"/>
  </w:style>
  <w:style w:type="paragraph" w:styleId="CommentSubject">
    <w:name w:val="annotation subject"/>
    <w:basedOn w:val="CommentText"/>
    <w:next w:val="CommentText"/>
    <w:link w:val="CommentSubjectChar"/>
    <w:rsid w:val="00490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0A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90A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0A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0A98"/>
  </w:style>
  <w:style w:type="paragraph" w:styleId="CommentSubject">
    <w:name w:val="annotation subject"/>
    <w:basedOn w:val="CommentText"/>
    <w:next w:val="CommentText"/>
    <w:link w:val="CommentSubjectChar"/>
    <w:rsid w:val="00490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0A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1643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SB00731 (Committee Report (Unamended))</vt:lpstr>
    </vt:vector>
  </TitlesOfParts>
  <Company>State of Texas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30821</dc:subject>
  <dc:creator>State of Texas</dc:creator>
  <dc:description>SB 731 by Bettencourt-(H)Ways &amp; Means</dc:description>
  <cp:lastModifiedBy>Alexander McMillan</cp:lastModifiedBy>
  <cp:revision>2</cp:revision>
  <cp:lastPrinted>2017-05-15T14:16:00Z</cp:lastPrinted>
  <dcterms:created xsi:type="dcterms:W3CDTF">2017-05-17T23:48:00Z</dcterms:created>
  <dcterms:modified xsi:type="dcterms:W3CDTF">2017-05-17T23:48:00Z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17.135.72</vt:lpwstr>
  </property>
</Properties>
</file>