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125E3" w:rsidTr="00345119">
        <w:tc>
          <w:tcPr>
            <w:tcW w:w="9576" w:type="dxa"/>
            <w:noWrap/>
          </w:tcPr>
          <w:p w:rsidR="008423E4" w:rsidRPr="0022177D" w:rsidRDefault="00A169CA" w:rsidP="00345119">
            <w:pPr>
              <w:pStyle w:val="Heading1"/>
            </w:pPr>
            <w:bookmarkStart w:id="0" w:name="_GoBack"/>
            <w:bookmarkEnd w:id="0"/>
            <w:r w:rsidRPr="00631897">
              <w:t>BILL ANALYSIS</w:t>
            </w:r>
          </w:p>
        </w:tc>
      </w:tr>
    </w:tbl>
    <w:p w:rsidR="008423E4" w:rsidRPr="0022177D" w:rsidRDefault="00A169CA" w:rsidP="008423E4">
      <w:pPr>
        <w:jc w:val="center"/>
      </w:pPr>
    </w:p>
    <w:p w:rsidR="008423E4" w:rsidRPr="00B31F0E" w:rsidRDefault="00A169CA" w:rsidP="008423E4"/>
    <w:p w:rsidR="008423E4" w:rsidRPr="00742794" w:rsidRDefault="00A169CA" w:rsidP="008423E4">
      <w:pPr>
        <w:tabs>
          <w:tab w:val="right" w:pos="9360"/>
        </w:tabs>
      </w:pPr>
    </w:p>
    <w:tbl>
      <w:tblPr>
        <w:tblW w:w="0" w:type="auto"/>
        <w:tblLayout w:type="fixed"/>
        <w:tblLook w:val="01E0" w:firstRow="1" w:lastRow="1" w:firstColumn="1" w:lastColumn="1" w:noHBand="0" w:noVBand="0"/>
      </w:tblPr>
      <w:tblGrid>
        <w:gridCol w:w="9576"/>
      </w:tblGrid>
      <w:tr w:rsidR="007125E3" w:rsidTr="00345119">
        <w:tc>
          <w:tcPr>
            <w:tcW w:w="9576" w:type="dxa"/>
          </w:tcPr>
          <w:p w:rsidR="008423E4" w:rsidRPr="00861995" w:rsidRDefault="00A169CA" w:rsidP="00345119">
            <w:pPr>
              <w:jc w:val="right"/>
            </w:pPr>
            <w:r>
              <w:t>C.S.S.B. 736</w:t>
            </w:r>
          </w:p>
        </w:tc>
      </w:tr>
      <w:tr w:rsidR="007125E3" w:rsidTr="00345119">
        <w:tc>
          <w:tcPr>
            <w:tcW w:w="9576" w:type="dxa"/>
          </w:tcPr>
          <w:p w:rsidR="008423E4" w:rsidRPr="00861995" w:rsidRDefault="00A169CA" w:rsidP="00345119">
            <w:pPr>
              <w:jc w:val="right"/>
            </w:pPr>
            <w:r>
              <w:t xml:space="preserve">By: </w:t>
            </w:r>
            <w:r>
              <w:t>Hancock</w:t>
            </w:r>
          </w:p>
        </w:tc>
      </w:tr>
      <w:tr w:rsidR="007125E3" w:rsidTr="00345119">
        <w:tc>
          <w:tcPr>
            <w:tcW w:w="9576" w:type="dxa"/>
          </w:tcPr>
          <w:p w:rsidR="008423E4" w:rsidRPr="00861995" w:rsidRDefault="00A169CA" w:rsidP="00345119">
            <w:pPr>
              <w:jc w:val="right"/>
            </w:pPr>
            <w:r>
              <w:t>Land &amp; Resource Management</w:t>
            </w:r>
          </w:p>
        </w:tc>
      </w:tr>
      <w:tr w:rsidR="007125E3" w:rsidTr="00345119">
        <w:tc>
          <w:tcPr>
            <w:tcW w:w="9576" w:type="dxa"/>
          </w:tcPr>
          <w:p w:rsidR="008423E4" w:rsidRDefault="00A169CA" w:rsidP="00345119">
            <w:pPr>
              <w:jc w:val="right"/>
            </w:pPr>
            <w:r>
              <w:t>Committee Report (Substituted)</w:t>
            </w:r>
          </w:p>
        </w:tc>
      </w:tr>
    </w:tbl>
    <w:p w:rsidR="008423E4" w:rsidRDefault="00A169CA" w:rsidP="008423E4">
      <w:pPr>
        <w:tabs>
          <w:tab w:val="right" w:pos="9360"/>
        </w:tabs>
      </w:pPr>
    </w:p>
    <w:p w:rsidR="008423E4" w:rsidRDefault="00A169CA" w:rsidP="008423E4"/>
    <w:p w:rsidR="008423E4" w:rsidRDefault="00A169CA" w:rsidP="008423E4"/>
    <w:tbl>
      <w:tblPr>
        <w:tblW w:w="0" w:type="auto"/>
        <w:tblCellMar>
          <w:left w:w="115" w:type="dxa"/>
          <w:right w:w="115" w:type="dxa"/>
        </w:tblCellMar>
        <w:tblLook w:val="01E0" w:firstRow="1" w:lastRow="1" w:firstColumn="1" w:lastColumn="1" w:noHBand="0" w:noVBand="0"/>
      </w:tblPr>
      <w:tblGrid>
        <w:gridCol w:w="9590"/>
      </w:tblGrid>
      <w:tr w:rsidR="007125E3" w:rsidTr="008A1089">
        <w:tc>
          <w:tcPr>
            <w:tcW w:w="9582" w:type="dxa"/>
          </w:tcPr>
          <w:p w:rsidR="008423E4" w:rsidRPr="00A8133F" w:rsidRDefault="00A169CA" w:rsidP="00DC5DB5">
            <w:pPr>
              <w:rPr>
                <w:b/>
              </w:rPr>
            </w:pPr>
            <w:r w:rsidRPr="009C1E9A">
              <w:rPr>
                <w:b/>
                <w:u w:val="single"/>
              </w:rPr>
              <w:t>BACKGROUND AND PURPOSE</w:t>
            </w:r>
            <w:r>
              <w:rPr>
                <w:b/>
              </w:rPr>
              <w:t xml:space="preserve"> </w:t>
            </w:r>
          </w:p>
          <w:p w:rsidR="008423E4" w:rsidRDefault="00A169CA" w:rsidP="00DC5DB5"/>
          <w:p w:rsidR="008423E4" w:rsidRDefault="00A169CA" w:rsidP="00DC5DB5">
            <w:pPr>
              <w:pStyle w:val="Header"/>
              <w:jc w:val="both"/>
            </w:pPr>
            <w:r>
              <w:t xml:space="preserve">Interested parties note the need for a report </w:t>
            </w:r>
            <w:r w:rsidRPr="00C05E95">
              <w:t>on the sale of electric power by the General Land Office</w:t>
            </w:r>
            <w:r>
              <w:t>. C.S.S.B. 736 seeks</w:t>
            </w:r>
            <w:r>
              <w:t xml:space="preserve"> to provid</w:t>
            </w:r>
            <w:r>
              <w:t>e</w:t>
            </w:r>
            <w:r>
              <w:t xml:space="preserve"> for such a report.</w:t>
            </w:r>
          </w:p>
          <w:p w:rsidR="008423E4" w:rsidRPr="00E26B13" w:rsidRDefault="00A169CA" w:rsidP="00DC5DB5">
            <w:pPr>
              <w:rPr>
                <w:b/>
              </w:rPr>
            </w:pPr>
          </w:p>
        </w:tc>
      </w:tr>
      <w:tr w:rsidR="007125E3" w:rsidTr="008A1089">
        <w:tc>
          <w:tcPr>
            <w:tcW w:w="9582" w:type="dxa"/>
          </w:tcPr>
          <w:p w:rsidR="0017725B" w:rsidRDefault="00A169CA" w:rsidP="00DC5DB5">
            <w:pPr>
              <w:rPr>
                <w:b/>
                <w:u w:val="single"/>
              </w:rPr>
            </w:pPr>
            <w:r>
              <w:rPr>
                <w:b/>
                <w:u w:val="single"/>
              </w:rPr>
              <w:t>CRIMINAL JUSTICE IMPACT</w:t>
            </w:r>
          </w:p>
          <w:p w:rsidR="0017725B" w:rsidRDefault="00A169CA" w:rsidP="00DC5DB5">
            <w:pPr>
              <w:rPr>
                <w:b/>
                <w:u w:val="single"/>
              </w:rPr>
            </w:pPr>
          </w:p>
          <w:p w:rsidR="00C650BB" w:rsidRPr="00C650BB" w:rsidRDefault="00A169CA" w:rsidP="00DC5DB5">
            <w:pPr>
              <w:jc w:val="both"/>
            </w:pPr>
            <w:r>
              <w:t>It is the committee's opinion that this bill does not expressly create a criminal offense, increase the punishment for an existing criminal offense or category of offenses, or change the eligibility</w:t>
            </w:r>
            <w:r>
              <w:t xml:space="preserve"> of a person for community supervision, parole, or mandatory supervision.</w:t>
            </w:r>
          </w:p>
          <w:p w:rsidR="0017725B" w:rsidRPr="0017725B" w:rsidRDefault="00A169CA" w:rsidP="00DC5DB5">
            <w:pPr>
              <w:rPr>
                <w:b/>
                <w:u w:val="single"/>
              </w:rPr>
            </w:pPr>
          </w:p>
        </w:tc>
      </w:tr>
      <w:tr w:rsidR="007125E3" w:rsidTr="008A1089">
        <w:tc>
          <w:tcPr>
            <w:tcW w:w="9582" w:type="dxa"/>
          </w:tcPr>
          <w:p w:rsidR="008423E4" w:rsidRPr="00A8133F" w:rsidRDefault="00A169CA" w:rsidP="00DC5DB5">
            <w:pPr>
              <w:rPr>
                <w:b/>
              </w:rPr>
            </w:pPr>
            <w:r w:rsidRPr="009C1E9A">
              <w:rPr>
                <w:b/>
                <w:u w:val="single"/>
              </w:rPr>
              <w:t>RULEMAKING AUTHORITY</w:t>
            </w:r>
            <w:r>
              <w:rPr>
                <w:b/>
              </w:rPr>
              <w:t xml:space="preserve"> </w:t>
            </w:r>
          </w:p>
          <w:p w:rsidR="008423E4" w:rsidRDefault="00A169CA" w:rsidP="00DC5DB5"/>
          <w:p w:rsidR="00C650BB" w:rsidRDefault="00A169CA" w:rsidP="00DC5DB5">
            <w:pPr>
              <w:pStyle w:val="Header"/>
              <w:tabs>
                <w:tab w:val="clear" w:pos="4320"/>
                <w:tab w:val="clear" w:pos="8640"/>
              </w:tabs>
              <w:jc w:val="both"/>
            </w:pPr>
            <w:r>
              <w:t>It is the committee's opinion that this bill does not expressly grant any additional rulemaking authority to a state officer, department, agency, or institut</w:t>
            </w:r>
            <w:r>
              <w:t>ion.</w:t>
            </w:r>
          </w:p>
          <w:p w:rsidR="008423E4" w:rsidRPr="00E21FDC" w:rsidRDefault="00A169CA" w:rsidP="00DC5DB5">
            <w:pPr>
              <w:rPr>
                <w:b/>
              </w:rPr>
            </w:pPr>
          </w:p>
        </w:tc>
      </w:tr>
      <w:tr w:rsidR="007125E3" w:rsidTr="008A1089">
        <w:tc>
          <w:tcPr>
            <w:tcW w:w="9582" w:type="dxa"/>
          </w:tcPr>
          <w:p w:rsidR="008423E4" w:rsidRPr="00A8133F" w:rsidRDefault="00A169CA" w:rsidP="00DC5DB5">
            <w:pPr>
              <w:rPr>
                <w:b/>
              </w:rPr>
            </w:pPr>
            <w:r w:rsidRPr="009C1E9A">
              <w:rPr>
                <w:b/>
                <w:u w:val="single"/>
              </w:rPr>
              <w:t>ANALYSIS</w:t>
            </w:r>
            <w:r>
              <w:rPr>
                <w:b/>
              </w:rPr>
              <w:t xml:space="preserve"> </w:t>
            </w:r>
          </w:p>
          <w:p w:rsidR="008423E4" w:rsidRDefault="00A169CA" w:rsidP="00DC5DB5"/>
          <w:p w:rsidR="008423E4" w:rsidRDefault="00A169CA" w:rsidP="00DC5DB5">
            <w:pPr>
              <w:pStyle w:val="Header"/>
              <w:jc w:val="both"/>
            </w:pPr>
            <w:r>
              <w:t xml:space="preserve">C.S.S.B. 736 requires the General Land Office (GLO) to collect information on the sale of electric power by the GLO. The bill requires the GLO, not later than September 1, 2018, to provide to the legislature a report on the collected </w:t>
            </w:r>
            <w:r>
              <w:t>information</w:t>
            </w:r>
            <w:r>
              <w:t xml:space="preserve"> that</w:t>
            </w:r>
            <w:r>
              <w:t xml:space="preserve"> include</w:t>
            </w:r>
            <w:r>
              <w:t>s</w:t>
            </w:r>
            <w:r>
              <w:t>, for each year, the number of participants, aggregate rates, general contract terms, and the extent of any fiscal impact on state resources of administering the program.</w:t>
            </w:r>
          </w:p>
          <w:p w:rsidR="008423E4" w:rsidRPr="00835628" w:rsidRDefault="00A169CA" w:rsidP="00DC5DB5">
            <w:pPr>
              <w:rPr>
                <w:b/>
              </w:rPr>
            </w:pPr>
          </w:p>
        </w:tc>
      </w:tr>
      <w:tr w:rsidR="007125E3" w:rsidTr="008A1089">
        <w:tc>
          <w:tcPr>
            <w:tcW w:w="9582" w:type="dxa"/>
          </w:tcPr>
          <w:p w:rsidR="008423E4" w:rsidRPr="00A8133F" w:rsidRDefault="00A169CA" w:rsidP="00DC5DB5">
            <w:pPr>
              <w:rPr>
                <w:b/>
              </w:rPr>
            </w:pPr>
            <w:r w:rsidRPr="009C1E9A">
              <w:rPr>
                <w:b/>
                <w:u w:val="single"/>
              </w:rPr>
              <w:t>EFFECTIVE DATE</w:t>
            </w:r>
            <w:r>
              <w:rPr>
                <w:b/>
              </w:rPr>
              <w:t xml:space="preserve"> </w:t>
            </w:r>
          </w:p>
          <w:p w:rsidR="008423E4" w:rsidRDefault="00A169CA" w:rsidP="00DC5DB5"/>
          <w:p w:rsidR="00D9040F" w:rsidRDefault="00A169CA" w:rsidP="00DC5DB5">
            <w:pPr>
              <w:pStyle w:val="Header"/>
              <w:tabs>
                <w:tab w:val="clear" w:pos="4320"/>
                <w:tab w:val="clear" w:pos="8640"/>
              </w:tabs>
              <w:jc w:val="both"/>
            </w:pPr>
            <w:r>
              <w:t>September 1, 2017.</w:t>
            </w:r>
          </w:p>
          <w:p w:rsidR="00D9040F" w:rsidRPr="00D9040F" w:rsidRDefault="00A169CA" w:rsidP="00DC5DB5">
            <w:pPr>
              <w:pStyle w:val="Header"/>
              <w:tabs>
                <w:tab w:val="clear" w:pos="4320"/>
                <w:tab w:val="clear" w:pos="8640"/>
              </w:tabs>
              <w:jc w:val="both"/>
            </w:pPr>
          </w:p>
        </w:tc>
      </w:tr>
      <w:tr w:rsidR="007125E3" w:rsidTr="008A1089">
        <w:tc>
          <w:tcPr>
            <w:tcW w:w="9582" w:type="dxa"/>
          </w:tcPr>
          <w:p w:rsidR="008A1089" w:rsidRDefault="00A169CA" w:rsidP="00DC5DB5">
            <w:pPr>
              <w:jc w:val="both"/>
              <w:rPr>
                <w:b/>
                <w:u w:val="single"/>
              </w:rPr>
            </w:pPr>
            <w:r>
              <w:rPr>
                <w:b/>
                <w:u w:val="single"/>
              </w:rPr>
              <w:t>COMPARISON OF SENATE</w:t>
            </w:r>
            <w:r>
              <w:rPr>
                <w:b/>
                <w:u w:val="single"/>
              </w:rPr>
              <w:t xml:space="preserve"> ENGROSSED AND SUBSTITUTE</w:t>
            </w:r>
          </w:p>
          <w:p w:rsidR="00C650BB" w:rsidRDefault="00A169CA" w:rsidP="00DC5DB5">
            <w:pPr>
              <w:jc w:val="both"/>
            </w:pPr>
          </w:p>
          <w:p w:rsidR="00C650BB" w:rsidRDefault="00A169CA" w:rsidP="00DC5DB5">
            <w:pPr>
              <w:jc w:val="both"/>
            </w:pPr>
            <w:r>
              <w:t>While C.S.S.B. 736 may differ from the engrossed in minor or nonsubstantive ways, the following comparison is organized and formatted in a manner that indicates the substantial differences between the engrossed and committee subs</w:t>
            </w:r>
            <w:r>
              <w:t>titute versions of the bill.</w:t>
            </w:r>
          </w:p>
          <w:p w:rsidR="00C650BB" w:rsidRPr="00C650BB" w:rsidRDefault="00A169CA" w:rsidP="00DC5DB5">
            <w:pPr>
              <w:jc w:val="both"/>
            </w:pPr>
          </w:p>
        </w:tc>
      </w:tr>
      <w:tr w:rsidR="007125E3" w:rsidTr="008A1089">
        <w:tc>
          <w:tcPr>
            <w:tcW w:w="9582" w:type="dxa"/>
          </w:tcPr>
          <w:tbl>
            <w:tblPr>
              <w:tblW w:w="9630" w:type="dxa"/>
              <w:tblCellMar>
                <w:left w:w="10" w:type="dxa"/>
                <w:bottom w:w="288" w:type="dxa"/>
                <w:right w:w="10" w:type="dxa"/>
              </w:tblCellMar>
              <w:tblLook w:val="01E0" w:firstRow="1" w:lastRow="1" w:firstColumn="1" w:lastColumn="1" w:noHBand="0" w:noVBand="0"/>
            </w:tblPr>
            <w:tblGrid>
              <w:gridCol w:w="4946"/>
              <w:gridCol w:w="4684"/>
            </w:tblGrid>
            <w:tr w:rsidR="007125E3" w:rsidTr="005F0FF9">
              <w:trPr>
                <w:cantSplit/>
                <w:tblHeader/>
              </w:trPr>
              <w:tc>
                <w:tcPr>
                  <w:tcW w:w="4946" w:type="dxa"/>
                  <w:tcMar>
                    <w:bottom w:w="188" w:type="dxa"/>
                  </w:tcMar>
                </w:tcPr>
                <w:p w:rsidR="008A1089" w:rsidRDefault="00A169CA" w:rsidP="00DC5DB5">
                  <w:pPr>
                    <w:jc w:val="center"/>
                  </w:pPr>
                  <w:r>
                    <w:t>SENATE ENGROSSED</w:t>
                  </w:r>
                </w:p>
              </w:tc>
              <w:tc>
                <w:tcPr>
                  <w:tcW w:w="4684" w:type="dxa"/>
                  <w:tcMar>
                    <w:bottom w:w="188" w:type="dxa"/>
                  </w:tcMar>
                </w:tcPr>
                <w:p w:rsidR="008A1089" w:rsidRDefault="00A169CA" w:rsidP="00DC5DB5">
                  <w:pPr>
                    <w:jc w:val="center"/>
                  </w:pPr>
                  <w:r>
                    <w:t>HOUSE COMMITTEE SUBSTITUTE</w:t>
                  </w:r>
                </w:p>
              </w:tc>
            </w:tr>
            <w:tr w:rsidR="007125E3" w:rsidTr="005F0FF9">
              <w:tc>
                <w:tcPr>
                  <w:tcW w:w="4946" w:type="dxa"/>
                  <w:tcMar>
                    <w:right w:w="360" w:type="dxa"/>
                  </w:tcMar>
                </w:tcPr>
                <w:p w:rsidR="008A1089" w:rsidRDefault="00A169CA" w:rsidP="00DC5DB5">
                  <w:pPr>
                    <w:jc w:val="both"/>
                  </w:pPr>
                  <w:r>
                    <w:t>SECTION 1.  Subchapter D, Chapter 35, Utilities Code, is amended by adding Section 35.107 to read as follows:</w:t>
                  </w:r>
                </w:p>
                <w:p w:rsidR="008A1089" w:rsidRDefault="00A169CA" w:rsidP="00DC5DB5">
                  <w:pPr>
                    <w:jc w:val="both"/>
                  </w:pPr>
                  <w:r>
                    <w:rPr>
                      <w:u w:val="single"/>
                    </w:rPr>
                    <w:t xml:space="preserve">Sec. 35.107.  EXPIRATION OF AUTHORITY TO SELL OR CONVEY POWER.  (a)  </w:t>
                  </w:r>
                  <w:r>
                    <w:rPr>
                      <w:u w:val="single"/>
                    </w:rPr>
                    <w:t>Notwithstanding another provision of this subchapter, the commissioner's authority to sell or convey power under this subchapter expires September 1, 2022.</w:t>
                  </w:r>
                </w:p>
                <w:p w:rsidR="008A1089" w:rsidRDefault="00A169CA" w:rsidP="00DC5DB5">
                  <w:pPr>
                    <w:jc w:val="both"/>
                  </w:pPr>
                  <w:r>
                    <w:rPr>
                      <w:u w:val="single"/>
                    </w:rPr>
                    <w:lastRenderedPageBreak/>
                    <w:t>(b)  This section does not affect the commissioner's authority to sell or convey natural gas under t</w:t>
                  </w:r>
                  <w:r>
                    <w:rPr>
                      <w:u w:val="single"/>
                    </w:rPr>
                    <w:t>his subchapter.</w:t>
                  </w:r>
                </w:p>
                <w:p w:rsidR="008A1089" w:rsidRDefault="00A169CA" w:rsidP="00DC5DB5">
                  <w:pPr>
                    <w:jc w:val="both"/>
                  </w:pPr>
                </w:p>
              </w:tc>
              <w:tc>
                <w:tcPr>
                  <w:tcW w:w="4684" w:type="dxa"/>
                  <w:tcMar>
                    <w:left w:w="360" w:type="dxa"/>
                  </w:tcMar>
                </w:tcPr>
                <w:p w:rsidR="008A1089" w:rsidRDefault="00A169CA" w:rsidP="00DC5DB5">
                  <w:pPr>
                    <w:jc w:val="both"/>
                  </w:pPr>
                  <w:r w:rsidRPr="00C650BB">
                    <w:rPr>
                      <w:highlight w:val="lightGray"/>
                    </w:rPr>
                    <w:lastRenderedPageBreak/>
                    <w:t>No equivalent provision.</w:t>
                  </w:r>
                </w:p>
                <w:p w:rsidR="008A1089" w:rsidRDefault="00A169CA" w:rsidP="00DC5DB5">
                  <w:pPr>
                    <w:jc w:val="both"/>
                  </w:pPr>
                </w:p>
              </w:tc>
            </w:tr>
            <w:tr w:rsidR="007125E3" w:rsidTr="005F0FF9">
              <w:tc>
                <w:tcPr>
                  <w:tcW w:w="4946" w:type="dxa"/>
                  <w:tcMar>
                    <w:right w:w="360" w:type="dxa"/>
                  </w:tcMar>
                </w:tcPr>
                <w:p w:rsidR="008A1089" w:rsidRDefault="00A169CA" w:rsidP="00DC5DB5">
                  <w:pPr>
                    <w:jc w:val="both"/>
                  </w:pPr>
                  <w:r>
                    <w:lastRenderedPageBreak/>
                    <w:t>SECTION 2.  (a)  The General Land Office or an entity operating under a contract with the General Land Office may continue to provide retail electric service in accordance with Subchapter D, Chapter 35, Utilities</w:t>
                  </w:r>
                  <w:r>
                    <w:t xml:space="preserve"> Code, as that subchapter existed before the effective date of this Act, under the terms of an agreement with a customer entered into before the effective date of this Act, only until the date the agreement expires.</w:t>
                  </w:r>
                </w:p>
                <w:p w:rsidR="008A1089" w:rsidRDefault="00A169CA" w:rsidP="00DC5DB5">
                  <w:pPr>
                    <w:jc w:val="both"/>
                  </w:pPr>
                  <w:r>
                    <w:t xml:space="preserve">(b)  The General Land Office may not </w:t>
                  </w:r>
                  <w:r>
                    <w:t>renew or extend the expiration or termination date of a contract to provide retail electric service in accordance with Subchapter D, Chapter 35, Utilities Code, to a date after September 1, 2022.</w:t>
                  </w:r>
                </w:p>
                <w:p w:rsidR="008A1089" w:rsidRDefault="00A169CA" w:rsidP="00DC5DB5">
                  <w:pPr>
                    <w:jc w:val="both"/>
                  </w:pPr>
                </w:p>
              </w:tc>
              <w:tc>
                <w:tcPr>
                  <w:tcW w:w="4684" w:type="dxa"/>
                  <w:tcMar>
                    <w:left w:w="360" w:type="dxa"/>
                  </w:tcMar>
                </w:tcPr>
                <w:p w:rsidR="008A1089" w:rsidRDefault="00A169CA" w:rsidP="00DC5DB5">
                  <w:pPr>
                    <w:jc w:val="both"/>
                  </w:pPr>
                  <w:r w:rsidRPr="00C650BB">
                    <w:rPr>
                      <w:highlight w:val="lightGray"/>
                    </w:rPr>
                    <w:t>No equivalent provision.</w:t>
                  </w:r>
                </w:p>
                <w:p w:rsidR="008A1089" w:rsidRDefault="00A169CA" w:rsidP="00DC5DB5">
                  <w:pPr>
                    <w:jc w:val="both"/>
                  </w:pPr>
                </w:p>
              </w:tc>
            </w:tr>
            <w:tr w:rsidR="007125E3" w:rsidTr="005F0FF9">
              <w:tc>
                <w:tcPr>
                  <w:tcW w:w="4946" w:type="dxa"/>
                  <w:tcMar>
                    <w:right w:w="360" w:type="dxa"/>
                  </w:tcMar>
                </w:tcPr>
                <w:p w:rsidR="008A1089" w:rsidRDefault="00A169CA" w:rsidP="00DC5DB5">
                  <w:pPr>
                    <w:jc w:val="both"/>
                  </w:pPr>
                  <w:r>
                    <w:t>SECTION 3.  (a)  The General Lan</w:t>
                  </w:r>
                  <w:r>
                    <w:t xml:space="preserve">d Office shall collect information on the sale of </w:t>
                  </w:r>
                  <w:r w:rsidRPr="00C650BB">
                    <w:rPr>
                      <w:highlight w:val="lightGray"/>
                    </w:rPr>
                    <w:t>electricity</w:t>
                  </w:r>
                  <w:r>
                    <w:t xml:space="preserve"> by the General Land Office and not later than </w:t>
                  </w:r>
                  <w:r w:rsidRPr="002A20B9">
                    <w:rPr>
                      <w:highlight w:val="lightGray"/>
                    </w:rPr>
                    <w:t>September 1, 2021</w:t>
                  </w:r>
                  <w:r>
                    <w:t xml:space="preserve">, provide to the legislature a report </w:t>
                  </w:r>
                  <w:r w:rsidRPr="002A20B9">
                    <w:rPr>
                      <w:highlight w:val="lightGray"/>
                    </w:rPr>
                    <w:t>based</w:t>
                  </w:r>
                  <w:r>
                    <w:t xml:space="preserve"> on the collected information.</w:t>
                  </w:r>
                </w:p>
                <w:p w:rsidR="002A20B9" w:rsidRDefault="00A169CA" w:rsidP="00DC5DB5">
                  <w:pPr>
                    <w:jc w:val="both"/>
                  </w:pPr>
                </w:p>
                <w:p w:rsidR="008A1089" w:rsidRDefault="00A169CA" w:rsidP="00DC5DB5">
                  <w:pPr>
                    <w:jc w:val="both"/>
                  </w:pPr>
                  <w:r>
                    <w:t xml:space="preserve">(b)  The report must include </w:t>
                  </w:r>
                  <w:r w:rsidRPr="002A20B9">
                    <w:rPr>
                      <w:highlight w:val="lightGray"/>
                    </w:rPr>
                    <w:t>and address</w:t>
                  </w:r>
                  <w:r>
                    <w:t xml:space="preserve"> for each year </w:t>
                  </w:r>
                  <w:r w:rsidRPr="002A20B9">
                    <w:rPr>
                      <w:highlight w:val="lightGray"/>
                    </w:rPr>
                    <w:t>a</w:t>
                  </w:r>
                  <w:r w:rsidRPr="002A20B9">
                    <w:rPr>
                      <w:highlight w:val="lightGray"/>
                    </w:rPr>
                    <w:t>t least</w:t>
                  </w:r>
                  <w:r>
                    <w:t xml:space="preserve"> the following information:</w:t>
                  </w:r>
                </w:p>
                <w:p w:rsidR="008A1089" w:rsidRDefault="00A169CA" w:rsidP="00DC5DB5">
                  <w:pPr>
                    <w:jc w:val="both"/>
                  </w:pPr>
                  <w:r>
                    <w:t>(1)  number of participants;</w:t>
                  </w:r>
                </w:p>
                <w:p w:rsidR="008A1089" w:rsidRDefault="00A169CA" w:rsidP="00DC5DB5">
                  <w:pPr>
                    <w:jc w:val="both"/>
                  </w:pPr>
                  <w:r>
                    <w:t>(2)  aggregate rates;</w:t>
                  </w:r>
                </w:p>
                <w:p w:rsidR="008A1089" w:rsidRDefault="00A169CA" w:rsidP="00DC5DB5">
                  <w:pPr>
                    <w:jc w:val="both"/>
                  </w:pPr>
                  <w:r>
                    <w:t>(3)  general contract terms; and</w:t>
                  </w:r>
                </w:p>
                <w:p w:rsidR="008A1089" w:rsidRDefault="00A169CA" w:rsidP="00DC5DB5">
                  <w:pPr>
                    <w:jc w:val="both"/>
                  </w:pPr>
                  <w:r>
                    <w:t>(4)  the extent of any fiscal impact on state resources of administering the program.</w:t>
                  </w:r>
                </w:p>
                <w:p w:rsidR="008A1089" w:rsidRDefault="00A169CA" w:rsidP="00DC5DB5">
                  <w:pPr>
                    <w:jc w:val="both"/>
                  </w:pPr>
                </w:p>
              </w:tc>
              <w:tc>
                <w:tcPr>
                  <w:tcW w:w="4684" w:type="dxa"/>
                  <w:tcMar>
                    <w:left w:w="360" w:type="dxa"/>
                  </w:tcMar>
                </w:tcPr>
                <w:p w:rsidR="00C650BB" w:rsidRDefault="00A169CA" w:rsidP="00DC5DB5">
                  <w:pPr>
                    <w:jc w:val="both"/>
                  </w:pPr>
                  <w:r>
                    <w:t>SECTION 1.  (a)  The General Land Office shall col</w:t>
                  </w:r>
                  <w:r>
                    <w:t xml:space="preserve">lect information on the sale of </w:t>
                  </w:r>
                  <w:r w:rsidRPr="00C650BB">
                    <w:rPr>
                      <w:highlight w:val="lightGray"/>
                    </w:rPr>
                    <w:t>electric power</w:t>
                  </w:r>
                  <w:r>
                    <w:t xml:space="preserve"> by the General Land Office.</w:t>
                  </w:r>
                </w:p>
                <w:p w:rsidR="002A20B9" w:rsidRDefault="00A169CA" w:rsidP="00DC5DB5">
                  <w:pPr>
                    <w:jc w:val="both"/>
                  </w:pPr>
                  <w:r>
                    <w:t xml:space="preserve">(b)  Not later than </w:t>
                  </w:r>
                  <w:r w:rsidRPr="002A20B9">
                    <w:rPr>
                      <w:highlight w:val="lightGray"/>
                    </w:rPr>
                    <w:t>September 1, 2018</w:t>
                  </w:r>
                  <w:r>
                    <w:t xml:space="preserve">, the General Land Office shall provide to the legislature a report on the information collected under Subsection (a).  </w:t>
                  </w:r>
                </w:p>
                <w:p w:rsidR="00C650BB" w:rsidRDefault="00A169CA" w:rsidP="00DC5DB5">
                  <w:pPr>
                    <w:jc w:val="both"/>
                  </w:pPr>
                  <w:r>
                    <w:t>The report must include</w:t>
                  </w:r>
                  <w:r>
                    <w:t xml:space="preserve"> the following information for each year:</w:t>
                  </w:r>
                </w:p>
                <w:p w:rsidR="00C650BB" w:rsidRDefault="00A169CA" w:rsidP="00DC5DB5">
                  <w:pPr>
                    <w:jc w:val="both"/>
                  </w:pPr>
                  <w:r>
                    <w:t>(1)  number of participants;</w:t>
                  </w:r>
                </w:p>
                <w:p w:rsidR="00C650BB" w:rsidRDefault="00A169CA" w:rsidP="00DC5DB5">
                  <w:pPr>
                    <w:jc w:val="both"/>
                  </w:pPr>
                  <w:r>
                    <w:t>(2)  aggregate rates;</w:t>
                  </w:r>
                </w:p>
                <w:p w:rsidR="00C650BB" w:rsidRDefault="00A169CA" w:rsidP="00DC5DB5">
                  <w:pPr>
                    <w:jc w:val="both"/>
                  </w:pPr>
                  <w:r>
                    <w:t>(3)  general contract terms; and</w:t>
                  </w:r>
                </w:p>
                <w:p w:rsidR="008A1089" w:rsidRDefault="00A169CA" w:rsidP="00DC5DB5">
                  <w:pPr>
                    <w:jc w:val="both"/>
                  </w:pPr>
                  <w:r>
                    <w:t>(4)  the extent of any fiscal impact on state resources of administering the program.</w:t>
                  </w:r>
                </w:p>
                <w:p w:rsidR="008A1089" w:rsidRDefault="00A169CA" w:rsidP="00DC5DB5">
                  <w:pPr>
                    <w:jc w:val="both"/>
                  </w:pPr>
                </w:p>
              </w:tc>
            </w:tr>
            <w:tr w:rsidR="007125E3" w:rsidTr="005F0FF9">
              <w:tc>
                <w:tcPr>
                  <w:tcW w:w="4946" w:type="dxa"/>
                  <w:tcMar>
                    <w:right w:w="360" w:type="dxa"/>
                  </w:tcMar>
                </w:tcPr>
                <w:p w:rsidR="008A1089" w:rsidRDefault="00A169CA" w:rsidP="00DC5DB5">
                  <w:pPr>
                    <w:jc w:val="both"/>
                  </w:pPr>
                  <w:r>
                    <w:t xml:space="preserve">SECTION 4.  This Act takes effect </w:t>
                  </w:r>
                  <w:r>
                    <w:t>September 1, 2017.</w:t>
                  </w:r>
                </w:p>
              </w:tc>
              <w:tc>
                <w:tcPr>
                  <w:tcW w:w="4684" w:type="dxa"/>
                  <w:tcMar>
                    <w:left w:w="360" w:type="dxa"/>
                  </w:tcMar>
                </w:tcPr>
                <w:p w:rsidR="008A1089" w:rsidRDefault="00A169CA" w:rsidP="00DC5DB5">
                  <w:pPr>
                    <w:jc w:val="both"/>
                  </w:pPr>
                  <w:r>
                    <w:t>SECTION 2. Same as engrossed version.</w:t>
                  </w:r>
                </w:p>
                <w:p w:rsidR="008A1089" w:rsidRDefault="00A169CA" w:rsidP="00DC5DB5">
                  <w:pPr>
                    <w:jc w:val="both"/>
                  </w:pPr>
                </w:p>
              </w:tc>
            </w:tr>
          </w:tbl>
          <w:p w:rsidR="008A1089" w:rsidRDefault="00A169CA" w:rsidP="00DC5DB5"/>
          <w:p w:rsidR="008A1089" w:rsidRPr="009C1E9A" w:rsidRDefault="00A169CA" w:rsidP="00DC5DB5">
            <w:pPr>
              <w:rPr>
                <w:b/>
                <w:u w:val="single"/>
              </w:rPr>
            </w:pPr>
          </w:p>
        </w:tc>
      </w:tr>
    </w:tbl>
    <w:p w:rsidR="004108C3" w:rsidRPr="008423E4" w:rsidRDefault="00A169C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69CA">
      <w:r>
        <w:separator/>
      </w:r>
    </w:p>
  </w:endnote>
  <w:endnote w:type="continuationSeparator" w:id="0">
    <w:p w:rsidR="00000000" w:rsidRDefault="00A1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1E0" w:firstRow="1" w:lastRow="1" w:firstColumn="1" w:lastColumn="1" w:noHBand="0" w:noVBand="0"/>
    </w:tblPr>
    <w:tblGrid>
      <w:gridCol w:w="6"/>
      <w:gridCol w:w="4524"/>
      <w:gridCol w:w="4830"/>
    </w:tblGrid>
    <w:tr w:rsidR="007125E3" w:rsidTr="00DC5DB5">
      <w:trPr>
        <w:cantSplit/>
      </w:trPr>
      <w:tc>
        <w:tcPr>
          <w:tcW w:w="3" w:type="pct"/>
        </w:tcPr>
        <w:p w:rsidR="00137D90" w:rsidRDefault="00A169CA" w:rsidP="009C1E9A">
          <w:pPr>
            <w:pStyle w:val="Footer"/>
            <w:tabs>
              <w:tab w:val="clear" w:pos="8640"/>
              <w:tab w:val="right" w:pos="9360"/>
            </w:tabs>
          </w:pPr>
        </w:p>
      </w:tc>
      <w:tc>
        <w:tcPr>
          <w:tcW w:w="2417" w:type="pct"/>
        </w:tcPr>
        <w:p w:rsidR="00137D90" w:rsidRDefault="00A169CA" w:rsidP="009C1E9A">
          <w:pPr>
            <w:pStyle w:val="Footer"/>
            <w:tabs>
              <w:tab w:val="clear" w:pos="8640"/>
              <w:tab w:val="right" w:pos="9360"/>
            </w:tabs>
          </w:pPr>
        </w:p>
        <w:p w:rsidR="00137D90" w:rsidRDefault="00A169CA" w:rsidP="009C1E9A">
          <w:pPr>
            <w:pStyle w:val="Footer"/>
            <w:tabs>
              <w:tab w:val="clear" w:pos="8640"/>
              <w:tab w:val="right" w:pos="9360"/>
            </w:tabs>
          </w:pPr>
        </w:p>
      </w:tc>
      <w:tc>
        <w:tcPr>
          <w:tcW w:w="2579" w:type="pct"/>
        </w:tcPr>
        <w:p w:rsidR="00137D90" w:rsidRDefault="00A169CA" w:rsidP="009C1E9A">
          <w:pPr>
            <w:pStyle w:val="Footer"/>
            <w:tabs>
              <w:tab w:val="clear" w:pos="8640"/>
              <w:tab w:val="right" w:pos="9360"/>
            </w:tabs>
            <w:jc w:val="right"/>
          </w:pPr>
        </w:p>
      </w:tc>
    </w:tr>
    <w:tr w:rsidR="007125E3" w:rsidTr="00DC5DB5">
      <w:trPr>
        <w:cantSplit/>
      </w:trPr>
      <w:tc>
        <w:tcPr>
          <w:tcW w:w="3" w:type="pct"/>
        </w:tcPr>
        <w:p w:rsidR="00EC379B" w:rsidRDefault="00A169CA" w:rsidP="009C1E9A">
          <w:pPr>
            <w:pStyle w:val="Footer"/>
            <w:tabs>
              <w:tab w:val="clear" w:pos="8640"/>
              <w:tab w:val="right" w:pos="9360"/>
            </w:tabs>
          </w:pPr>
        </w:p>
      </w:tc>
      <w:tc>
        <w:tcPr>
          <w:tcW w:w="2417" w:type="pct"/>
        </w:tcPr>
        <w:p w:rsidR="00EC379B" w:rsidRPr="009C1E9A" w:rsidRDefault="00A169CA" w:rsidP="009C1E9A">
          <w:pPr>
            <w:pStyle w:val="Footer"/>
            <w:tabs>
              <w:tab w:val="clear" w:pos="8640"/>
              <w:tab w:val="right" w:pos="9360"/>
            </w:tabs>
            <w:rPr>
              <w:rFonts w:ascii="Shruti" w:hAnsi="Shruti"/>
              <w:sz w:val="22"/>
            </w:rPr>
          </w:pPr>
          <w:r>
            <w:rPr>
              <w:rFonts w:ascii="Shruti" w:hAnsi="Shruti"/>
              <w:sz w:val="22"/>
            </w:rPr>
            <w:t>85R 31584</w:t>
          </w:r>
        </w:p>
      </w:tc>
      <w:tc>
        <w:tcPr>
          <w:tcW w:w="2579" w:type="pct"/>
        </w:tcPr>
        <w:p w:rsidR="00EC379B" w:rsidRDefault="00A169CA" w:rsidP="009C1E9A">
          <w:pPr>
            <w:pStyle w:val="Footer"/>
            <w:tabs>
              <w:tab w:val="clear" w:pos="8640"/>
              <w:tab w:val="right" w:pos="9360"/>
            </w:tabs>
            <w:jc w:val="right"/>
          </w:pPr>
          <w:r>
            <w:fldChar w:fldCharType="begin"/>
          </w:r>
          <w:r>
            <w:instrText xml:space="preserve"> DOCPROPERTY  OTID  \* MERGEFORMAT </w:instrText>
          </w:r>
          <w:r>
            <w:fldChar w:fldCharType="separate"/>
          </w:r>
          <w:r>
            <w:t>17.137.326</w:t>
          </w:r>
          <w:r>
            <w:fldChar w:fldCharType="end"/>
          </w:r>
        </w:p>
      </w:tc>
    </w:tr>
    <w:tr w:rsidR="007125E3" w:rsidTr="00DC5DB5">
      <w:trPr>
        <w:cantSplit/>
      </w:trPr>
      <w:tc>
        <w:tcPr>
          <w:tcW w:w="3" w:type="pct"/>
        </w:tcPr>
        <w:p w:rsidR="00EC379B" w:rsidRDefault="00A169CA" w:rsidP="009C1E9A">
          <w:pPr>
            <w:pStyle w:val="Footer"/>
            <w:tabs>
              <w:tab w:val="clear" w:pos="4320"/>
              <w:tab w:val="clear" w:pos="8640"/>
              <w:tab w:val="left" w:pos="2865"/>
            </w:tabs>
          </w:pPr>
        </w:p>
      </w:tc>
      <w:tc>
        <w:tcPr>
          <w:tcW w:w="2417" w:type="pct"/>
        </w:tcPr>
        <w:p w:rsidR="00EC379B" w:rsidRPr="009C1E9A" w:rsidRDefault="00A169CA" w:rsidP="009C1E9A">
          <w:pPr>
            <w:pStyle w:val="Footer"/>
            <w:tabs>
              <w:tab w:val="clear" w:pos="4320"/>
              <w:tab w:val="clear" w:pos="8640"/>
              <w:tab w:val="left" w:pos="2865"/>
            </w:tabs>
            <w:rPr>
              <w:rFonts w:ascii="Shruti" w:hAnsi="Shruti"/>
              <w:sz w:val="22"/>
            </w:rPr>
          </w:pPr>
          <w:r>
            <w:rPr>
              <w:rFonts w:ascii="Shruti" w:hAnsi="Shruti"/>
              <w:sz w:val="22"/>
            </w:rPr>
            <w:t>Substitute Document Number: 85R 27580</w:t>
          </w:r>
        </w:p>
      </w:tc>
      <w:tc>
        <w:tcPr>
          <w:tcW w:w="2579" w:type="pct"/>
        </w:tcPr>
        <w:p w:rsidR="00EC379B" w:rsidRDefault="00A169CA" w:rsidP="006D504F">
          <w:pPr>
            <w:pStyle w:val="Footer"/>
            <w:rPr>
              <w:rStyle w:val="PageNumber"/>
            </w:rPr>
          </w:pPr>
        </w:p>
        <w:p w:rsidR="00EC379B" w:rsidRDefault="00A169CA" w:rsidP="009C1E9A">
          <w:pPr>
            <w:pStyle w:val="Footer"/>
            <w:tabs>
              <w:tab w:val="clear" w:pos="8640"/>
              <w:tab w:val="right" w:pos="9360"/>
            </w:tabs>
            <w:jc w:val="right"/>
          </w:pPr>
        </w:p>
      </w:tc>
    </w:tr>
    <w:tr w:rsidR="007125E3" w:rsidTr="00DC5DB5">
      <w:trPr>
        <w:cantSplit/>
        <w:trHeight w:val="323"/>
      </w:trPr>
      <w:tc>
        <w:tcPr>
          <w:tcW w:w="5000" w:type="pct"/>
          <w:gridSpan w:val="3"/>
        </w:tcPr>
        <w:p w:rsidR="00EC379B" w:rsidRDefault="00A169C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169CA" w:rsidP="009C1E9A">
          <w:pPr>
            <w:pStyle w:val="Footer"/>
            <w:tabs>
              <w:tab w:val="clear" w:pos="8640"/>
              <w:tab w:val="right" w:pos="9360"/>
            </w:tabs>
            <w:jc w:val="center"/>
          </w:pPr>
        </w:p>
      </w:tc>
    </w:tr>
  </w:tbl>
  <w:p w:rsidR="00EC379B" w:rsidRPr="00FF6F72" w:rsidRDefault="00A169C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69CA">
      <w:r>
        <w:separator/>
      </w:r>
    </w:p>
  </w:footnote>
  <w:footnote w:type="continuationSeparator" w:id="0">
    <w:p w:rsidR="00000000" w:rsidRDefault="00A16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E3"/>
    <w:rsid w:val="007125E3"/>
    <w:rsid w:val="00A1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37A64"/>
    <w:rPr>
      <w:sz w:val="16"/>
      <w:szCs w:val="16"/>
    </w:rPr>
  </w:style>
  <w:style w:type="paragraph" w:styleId="CommentText">
    <w:name w:val="annotation text"/>
    <w:basedOn w:val="Normal"/>
    <w:link w:val="CommentTextChar"/>
    <w:rsid w:val="00A37A64"/>
    <w:rPr>
      <w:sz w:val="20"/>
      <w:szCs w:val="20"/>
    </w:rPr>
  </w:style>
  <w:style w:type="character" w:customStyle="1" w:styleId="CommentTextChar">
    <w:name w:val="Comment Text Char"/>
    <w:basedOn w:val="DefaultParagraphFont"/>
    <w:link w:val="CommentText"/>
    <w:rsid w:val="00A37A64"/>
  </w:style>
  <w:style w:type="paragraph" w:styleId="CommentSubject">
    <w:name w:val="annotation subject"/>
    <w:basedOn w:val="CommentText"/>
    <w:next w:val="CommentText"/>
    <w:link w:val="CommentSubjectChar"/>
    <w:rsid w:val="00A37A64"/>
    <w:rPr>
      <w:b/>
      <w:bCs/>
    </w:rPr>
  </w:style>
  <w:style w:type="character" w:customStyle="1" w:styleId="CommentSubjectChar">
    <w:name w:val="Comment Subject Char"/>
    <w:basedOn w:val="CommentTextChar"/>
    <w:link w:val="CommentSubject"/>
    <w:rsid w:val="00A37A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37A64"/>
    <w:rPr>
      <w:sz w:val="16"/>
      <w:szCs w:val="16"/>
    </w:rPr>
  </w:style>
  <w:style w:type="paragraph" w:styleId="CommentText">
    <w:name w:val="annotation text"/>
    <w:basedOn w:val="Normal"/>
    <w:link w:val="CommentTextChar"/>
    <w:rsid w:val="00A37A64"/>
    <w:rPr>
      <w:sz w:val="20"/>
      <w:szCs w:val="20"/>
    </w:rPr>
  </w:style>
  <w:style w:type="character" w:customStyle="1" w:styleId="CommentTextChar">
    <w:name w:val="Comment Text Char"/>
    <w:basedOn w:val="DefaultParagraphFont"/>
    <w:link w:val="CommentText"/>
    <w:rsid w:val="00A37A64"/>
  </w:style>
  <w:style w:type="paragraph" w:styleId="CommentSubject">
    <w:name w:val="annotation subject"/>
    <w:basedOn w:val="CommentText"/>
    <w:next w:val="CommentText"/>
    <w:link w:val="CommentSubjectChar"/>
    <w:rsid w:val="00A37A64"/>
    <w:rPr>
      <w:b/>
      <w:bCs/>
    </w:rPr>
  </w:style>
  <w:style w:type="character" w:customStyle="1" w:styleId="CommentSubjectChar">
    <w:name w:val="Comment Subject Char"/>
    <w:basedOn w:val="CommentTextChar"/>
    <w:link w:val="CommentSubject"/>
    <w:rsid w:val="00A37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3212</Characters>
  <Application>Microsoft Office Word</Application>
  <DocSecurity>4</DocSecurity>
  <Lines>117</Lines>
  <Paragraphs>41</Paragraphs>
  <ScaleCrop>false</ScaleCrop>
  <HeadingPairs>
    <vt:vector size="2" baseType="variant">
      <vt:variant>
        <vt:lpstr>Title</vt:lpstr>
      </vt:variant>
      <vt:variant>
        <vt:i4>1</vt:i4>
      </vt:variant>
    </vt:vector>
  </HeadingPairs>
  <TitlesOfParts>
    <vt:vector size="1" baseType="lpstr">
      <vt:lpstr>BA - SB00736 (Committee Report (Substituted))</vt:lpstr>
    </vt:vector>
  </TitlesOfParts>
  <Company>State of Texas</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31584</dc:subject>
  <dc:creator>State of Texas</dc:creator>
  <dc:description>SB 736 by Hancock-(H)Land &amp; Resource Management (Substitute Document Number: 85R 27580)</dc:description>
  <cp:lastModifiedBy>Alexander McMillan</cp:lastModifiedBy>
  <cp:revision>2</cp:revision>
  <cp:lastPrinted>2003-11-26T17:21:00Z</cp:lastPrinted>
  <dcterms:created xsi:type="dcterms:W3CDTF">2017-05-17T23:03:00Z</dcterms:created>
  <dcterms:modified xsi:type="dcterms:W3CDTF">2017-05-17T23:03:00Z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17.137.326</vt:lpwstr>
  </property>
</Properties>
</file>