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69E5" w:rsidTr="00345119">
        <w:tc>
          <w:tcPr>
            <w:tcW w:w="9576" w:type="dxa"/>
            <w:noWrap/>
          </w:tcPr>
          <w:p w:rsidR="008423E4" w:rsidRPr="0022177D" w:rsidRDefault="00F73B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3B0D" w:rsidP="008423E4">
      <w:pPr>
        <w:jc w:val="center"/>
      </w:pPr>
    </w:p>
    <w:p w:rsidR="008423E4" w:rsidRPr="00B31F0E" w:rsidRDefault="00F73B0D" w:rsidP="008423E4"/>
    <w:p w:rsidR="008423E4" w:rsidRPr="00742794" w:rsidRDefault="00F73B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69E5" w:rsidTr="00345119">
        <w:tc>
          <w:tcPr>
            <w:tcW w:w="9576" w:type="dxa"/>
          </w:tcPr>
          <w:p w:rsidR="008423E4" w:rsidRPr="00861995" w:rsidRDefault="00F73B0D" w:rsidP="00345119">
            <w:pPr>
              <w:jc w:val="right"/>
            </w:pPr>
            <w:r>
              <w:t>S.B. 745</w:t>
            </w:r>
          </w:p>
        </w:tc>
      </w:tr>
      <w:tr w:rsidR="001069E5" w:rsidTr="00345119">
        <w:tc>
          <w:tcPr>
            <w:tcW w:w="9576" w:type="dxa"/>
          </w:tcPr>
          <w:p w:rsidR="008423E4" w:rsidRPr="00861995" w:rsidRDefault="00F73B0D" w:rsidP="00F8144F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1069E5" w:rsidTr="00345119">
        <w:tc>
          <w:tcPr>
            <w:tcW w:w="9576" w:type="dxa"/>
          </w:tcPr>
          <w:p w:rsidR="008423E4" w:rsidRPr="00861995" w:rsidRDefault="00F73B0D" w:rsidP="00345119">
            <w:pPr>
              <w:jc w:val="right"/>
            </w:pPr>
            <w:r>
              <w:t>Ways &amp; Means</w:t>
            </w:r>
          </w:p>
        </w:tc>
      </w:tr>
      <w:tr w:rsidR="001069E5" w:rsidTr="00345119">
        <w:tc>
          <w:tcPr>
            <w:tcW w:w="9576" w:type="dxa"/>
          </w:tcPr>
          <w:p w:rsidR="008423E4" w:rsidRDefault="00F73B0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3B0D" w:rsidP="008423E4">
      <w:pPr>
        <w:tabs>
          <w:tab w:val="right" w:pos="9360"/>
        </w:tabs>
      </w:pPr>
    </w:p>
    <w:p w:rsidR="008423E4" w:rsidRDefault="00F73B0D" w:rsidP="008423E4"/>
    <w:p w:rsidR="008423E4" w:rsidRDefault="00F73B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069E5" w:rsidTr="00523A5A">
        <w:tc>
          <w:tcPr>
            <w:tcW w:w="9582" w:type="dxa"/>
          </w:tcPr>
          <w:p w:rsidR="008423E4" w:rsidRPr="00A8133F" w:rsidRDefault="00F73B0D" w:rsidP="00F54E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3B0D" w:rsidP="00F54E44"/>
          <w:p w:rsidR="008423E4" w:rsidRDefault="00F73B0D" w:rsidP="00F54E44">
            <w:pPr>
              <w:pStyle w:val="Header"/>
              <w:jc w:val="both"/>
            </w:pPr>
            <w:r>
              <w:t xml:space="preserve">According to interested parties, recent litigation has prompted the need for </w:t>
            </w:r>
            <w:r>
              <w:t>clarifi</w:t>
            </w:r>
            <w:r>
              <w:t>cation as to</w:t>
            </w:r>
            <w:r>
              <w:t xml:space="preserve"> when a host employer may claim a sales </w:t>
            </w:r>
            <w:r>
              <w:t xml:space="preserve">and use </w:t>
            </w:r>
            <w:r>
              <w:t xml:space="preserve">tax exemption for </w:t>
            </w:r>
            <w:r>
              <w:t xml:space="preserve">certain </w:t>
            </w:r>
            <w:r>
              <w:t xml:space="preserve">services provided by </w:t>
            </w:r>
            <w:r>
              <w:t>certain</w:t>
            </w:r>
            <w:r>
              <w:t xml:space="preserve"> temporary employee</w:t>
            </w:r>
            <w:r>
              <w:t>s</w:t>
            </w:r>
            <w:r>
              <w:t xml:space="preserve">. </w:t>
            </w:r>
            <w:r>
              <w:t>S.B. 745</w:t>
            </w:r>
            <w:r>
              <w:t xml:space="preserve"> </w:t>
            </w:r>
            <w:r>
              <w:t>seeks to provide that clarification</w:t>
            </w:r>
            <w:r>
              <w:t>.</w:t>
            </w:r>
            <w:r>
              <w:t xml:space="preserve"> </w:t>
            </w:r>
          </w:p>
          <w:p w:rsidR="008423E4" w:rsidRPr="00E26B13" w:rsidRDefault="00F73B0D" w:rsidP="00F54E44">
            <w:pPr>
              <w:rPr>
                <w:b/>
              </w:rPr>
            </w:pPr>
          </w:p>
        </w:tc>
      </w:tr>
      <w:tr w:rsidR="001069E5" w:rsidTr="00523A5A">
        <w:tc>
          <w:tcPr>
            <w:tcW w:w="9582" w:type="dxa"/>
          </w:tcPr>
          <w:p w:rsidR="0017725B" w:rsidRDefault="00F73B0D" w:rsidP="00F54E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3B0D" w:rsidP="00F54E44">
            <w:pPr>
              <w:rPr>
                <w:b/>
                <w:u w:val="single"/>
              </w:rPr>
            </w:pPr>
          </w:p>
          <w:p w:rsidR="00683A67" w:rsidRPr="00683A67" w:rsidRDefault="00F73B0D" w:rsidP="00F54E44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73B0D" w:rsidP="00F54E44">
            <w:pPr>
              <w:rPr>
                <w:b/>
                <w:u w:val="single"/>
              </w:rPr>
            </w:pPr>
          </w:p>
        </w:tc>
      </w:tr>
      <w:tr w:rsidR="001069E5" w:rsidTr="00523A5A">
        <w:tc>
          <w:tcPr>
            <w:tcW w:w="9582" w:type="dxa"/>
          </w:tcPr>
          <w:p w:rsidR="008423E4" w:rsidRPr="00A8133F" w:rsidRDefault="00F73B0D" w:rsidP="00F54E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3B0D" w:rsidP="00F54E44"/>
          <w:p w:rsidR="00683A67" w:rsidRDefault="00F73B0D" w:rsidP="00F54E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F73B0D" w:rsidP="00F54E44">
            <w:pPr>
              <w:rPr>
                <w:b/>
              </w:rPr>
            </w:pPr>
          </w:p>
        </w:tc>
      </w:tr>
      <w:tr w:rsidR="001069E5" w:rsidTr="00523A5A">
        <w:tc>
          <w:tcPr>
            <w:tcW w:w="9582" w:type="dxa"/>
          </w:tcPr>
          <w:p w:rsidR="008423E4" w:rsidRPr="00A8133F" w:rsidRDefault="00F73B0D" w:rsidP="00F54E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3B0D" w:rsidP="00F54E44"/>
          <w:p w:rsidR="00A61FE4" w:rsidRDefault="00F73B0D" w:rsidP="00F54E44">
            <w:pPr>
              <w:pStyle w:val="Header"/>
              <w:jc w:val="both"/>
            </w:pPr>
            <w:r>
              <w:t>S.B. 745</w:t>
            </w:r>
            <w:r>
              <w:t xml:space="preserve"> amends the Tax Code to</w:t>
            </w:r>
            <w:r>
              <w:t xml:space="preserve"> revise the sales and use tax exemption </w:t>
            </w:r>
            <w:r>
              <w:t xml:space="preserve">for a service performed by an employee of a temporary employment service for </w:t>
            </w:r>
            <w:r>
              <w:t xml:space="preserve">a </w:t>
            </w:r>
            <w:r>
              <w:t>certain</w:t>
            </w:r>
            <w:r>
              <w:t xml:space="preserve"> </w:t>
            </w:r>
            <w:r>
              <w:t xml:space="preserve">employer to supplement the employer's existing work force on a temporary basis </w:t>
            </w:r>
            <w:r>
              <w:t xml:space="preserve">under certain conditions </w:t>
            </w:r>
            <w:r>
              <w:t>as follows:</w:t>
            </w:r>
          </w:p>
          <w:p w:rsidR="00A61FE4" w:rsidRDefault="00F73B0D" w:rsidP="00F54E4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bill </w:t>
            </w:r>
            <w:r>
              <w:t>clarifi</w:t>
            </w:r>
            <w:r>
              <w:t>es</w:t>
            </w:r>
            <w:r>
              <w:t xml:space="preserve"> that the employer is a host employ</w:t>
            </w:r>
            <w:r>
              <w:t>er, which the bill defines, among other terms, as the employer who owns, manages, or controls the property or worksite where an employee of a temporary employment service performs a service</w:t>
            </w:r>
            <w:r>
              <w:t>;</w:t>
            </w:r>
            <w:r>
              <w:t xml:space="preserve"> </w:t>
            </w:r>
          </w:p>
          <w:p w:rsidR="00A61FE4" w:rsidRDefault="00F73B0D" w:rsidP="00F54E4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bill specifies that, with regard to the cond</w:t>
            </w:r>
            <w:r>
              <w:t>ition that the e</w:t>
            </w:r>
            <w:r>
              <w:t>mployer provide</w:t>
            </w:r>
            <w:r>
              <w:t xml:space="preserve"> all supplies and equipment necessary, the supplies and equipment are those necessary to perform the service, other than personal protective equipment provided by the temporary employment service </w:t>
            </w:r>
            <w:r>
              <w:t>under</w:t>
            </w:r>
            <w:r>
              <w:t xml:space="preserve"> a federal law or regulation; </w:t>
            </w:r>
          </w:p>
          <w:p w:rsidR="00847038" w:rsidRDefault="00F73B0D" w:rsidP="00F54E4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bill </w:t>
            </w:r>
            <w:r>
              <w:t>includes</w:t>
            </w:r>
            <w:r>
              <w:t xml:space="preserve"> as conditions </w:t>
            </w:r>
            <w:r>
              <w:t xml:space="preserve">for the exemption </w:t>
            </w:r>
            <w:r>
              <w:t xml:space="preserve">the </w:t>
            </w:r>
            <w:r>
              <w:t>condition</w:t>
            </w:r>
            <w:r>
              <w:t>s</w:t>
            </w:r>
            <w:r>
              <w:t xml:space="preserve"> </w:t>
            </w:r>
            <w:r>
              <w:t xml:space="preserve">that </w:t>
            </w:r>
            <w:r>
              <w:t>the host</w:t>
            </w:r>
            <w:r>
              <w:t xml:space="preserve"> employer not rent, lease, purchase, or otherwise acquire for use </w:t>
            </w:r>
            <w:r>
              <w:t xml:space="preserve">such </w:t>
            </w:r>
            <w:r>
              <w:t>supplies and equipment necessary to perform the service from the temporary employment service or an entity that is a</w:t>
            </w:r>
            <w:r>
              <w:t xml:space="preserve"> member of an affiliated group of which the temporary employment service is also a member</w:t>
            </w:r>
            <w:r>
              <w:t>,</w:t>
            </w:r>
            <w:r>
              <w:t xml:space="preserve"> and </w:t>
            </w:r>
            <w:r>
              <w:t xml:space="preserve">the condition </w:t>
            </w:r>
            <w:r>
              <w:t xml:space="preserve">that the </w:t>
            </w:r>
            <w:r>
              <w:t>host employer have</w:t>
            </w:r>
            <w:r>
              <w:t xml:space="preserve"> the sole right to supervise, direct, and control the work performed by the employee of the temporary employment service</w:t>
            </w:r>
            <w:r>
              <w:t xml:space="preserve"> as necessary to conduct the host employer's business or to comply with an</w:t>
            </w:r>
            <w:r>
              <w:t>y</w:t>
            </w:r>
            <w:r>
              <w:t xml:space="preserve"> lice</w:t>
            </w:r>
            <w:r>
              <w:t>n</w:t>
            </w:r>
            <w:r>
              <w:t xml:space="preserve">sing, statutory, or regulatory requirement applicable to the </w:t>
            </w:r>
            <w:r>
              <w:t>host employer</w:t>
            </w:r>
            <w:r>
              <w:t>; and</w:t>
            </w:r>
          </w:p>
          <w:p w:rsidR="00847038" w:rsidRDefault="00F73B0D" w:rsidP="00F54E4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bill remove</w:t>
            </w:r>
            <w:r>
              <w:t>s the condition that the help be</w:t>
            </w:r>
            <w:r>
              <w:t xml:space="preserve"> under the direct or general supervision of the </w:t>
            </w:r>
            <w:r>
              <w:t>employer to whom the help is furnished</w:t>
            </w:r>
            <w:r>
              <w:t>.</w:t>
            </w:r>
          </w:p>
          <w:p w:rsidR="00F54E44" w:rsidRDefault="00F73B0D" w:rsidP="00F54E44">
            <w:pPr>
              <w:pStyle w:val="Header"/>
              <w:jc w:val="both"/>
            </w:pPr>
          </w:p>
          <w:p w:rsidR="008423E4" w:rsidRDefault="00F73B0D" w:rsidP="00F54E44">
            <w:pPr>
              <w:pStyle w:val="Header"/>
              <w:jc w:val="both"/>
            </w:pPr>
            <w:r>
              <w:t>The bill limits the applicability of</w:t>
            </w:r>
            <w:r>
              <w:t xml:space="preserve"> </w:t>
            </w:r>
            <w:r>
              <w:t>the requirement that the comptroller of public accounts prescribe by rule certain criteria the comptroller deems necessary to properly implement provisions relating to the taxabi</w:t>
            </w:r>
            <w:r>
              <w:t xml:space="preserve">lity of certain employee services to a service performed </w:t>
            </w:r>
            <w:r w:rsidRPr="00341B65">
              <w:t xml:space="preserve">by </w:t>
            </w:r>
            <w:r w:rsidRPr="00341B65">
              <w:lastRenderedPageBreak/>
              <w:t xml:space="preserve">covered employees of a professional employer organization for a client under a written contract that provides for shared employment responsibilities between the professional employer organization </w:t>
            </w:r>
            <w:r w:rsidRPr="00341B65">
              <w:t>and the client for the covered employees, most of whom must have been previously employed by the client.</w:t>
            </w:r>
            <w:r>
              <w:t xml:space="preserve"> </w:t>
            </w:r>
          </w:p>
          <w:p w:rsidR="008423E4" w:rsidRPr="00835628" w:rsidRDefault="00F73B0D" w:rsidP="00F54E44">
            <w:pPr>
              <w:rPr>
                <w:b/>
              </w:rPr>
            </w:pPr>
          </w:p>
        </w:tc>
      </w:tr>
      <w:tr w:rsidR="001069E5" w:rsidTr="00523A5A">
        <w:tc>
          <w:tcPr>
            <w:tcW w:w="9582" w:type="dxa"/>
          </w:tcPr>
          <w:p w:rsidR="008423E4" w:rsidRPr="00A8133F" w:rsidRDefault="00F73B0D" w:rsidP="00F54E4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3B0D" w:rsidP="00F54E44"/>
          <w:p w:rsidR="008423E4" w:rsidRPr="003624F2" w:rsidRDefault="00F73B0D" w:rsidP="00F54E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73B0D" w:rsidP="00F54E44">
            <w:pPr>
              <w:rPr>
                <w:b/>
              </w:rPr>
            </w:pPr>
          </w:p>
        </w:tc>
      </w:tr>
    </w:tbl>
    <w:p w:rsidR="008423E4" w:rsidRPr="00BE0E75" w:rsidRDefault="00F73B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3B0D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B0D">
      <w:r>
        <w:separator/>
      </w:r>
    </w:p>
  </w:endnote>
  <w:endnote w:type="continuationSeparator" w:id="0">
    <w:p w:rsidR="00000000" w:rsidRDefault="00F7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69E5" w:rsidTr="009C1E9A">
      <w:trPr>
        <w:cantSplit/>
      </w:trPr>
      <w:tc>
        <w:tcPr>
          <w:tcW w:w="0" w:type="pct"/>
        </w:tcPr>
        <w:p w:rsidR="00137D90" w:rsidRDefault="00F73B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3B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3B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3B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3B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9E5" w:rsidTr="009C1E9A">
      <w:trPr>
        <w:cantSplit/>
      </w:trPr>
      <w:tc>
        <w:tcPr>
          <w:tcW w:w="0" w:type="pct"/>
        </w:tcPr>
        <w:p w:rsidR="00EC379B" w:rsidRDefault="00F73B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3B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31134</w:t>
          </w:r>
        </w:p>
      </w:tc>
      <w:tc>
        <w:tcPr>
          <w:tcW w:w="2453" w:type="pct"/>
        </w:tcPr>
        <w:p w:rsidR="00EC379B" w:rsidRDefault="00F73B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17.135.801</w:t>
          </w:r>
          <w:r>
            <w:fldChar w:fldCharType="end"/>
          </w:r>
        </w:p>
      </w:tc>
    </w:tr>
    <w:tr w:rsidR="001069E5" w:rsidTr="009C1E9A">
      <w:trPr>
        <w:cantSplit/>
      </w:trPr>
      <w:tc>
        <w:tcPr>
          <w:tcW w:w="0" w:type="pct"/>
        </w:tcPr>
        <w:p w:rsidR="00EC379B" w:rsidRDefault="00F73B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3B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3B0D" w:rsidP="006D504F">
          <w:pPr>
            <w:pStyle w:val="Footer"/>
            <w:rPr>
              <w:rStyle w:val="PageNumber"/>
            </w:rPr>
          </w:pPr>
        </w:p>
        <w:p w:rsidR="00EC379B" w:rsidRDefault="00F73B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9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3B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3B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3B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B0D">
      <w:r>
        <w:separator/>
      </w:r>
    </w:p>
  </w:footnote>
  <w:footnote w:type="continuationSeparator" w:id="0">
    <w:p w:rsidR="00000000" w:rsidRDefault="00F7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6161"/>
    <w:multiLevelType w:val="hybridMultilevel"/>
    <w:tmpl w:val="2682A292"/>
    <w:lvl w:ilvl="0" w:tplc="8DFC8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ED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25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C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1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49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03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8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CB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35DB4"/>
    <w:multiLevelType w:val="hybridMultilevel"/>
    <w:tmpl w:val="28A236C2"/>
    <w:lvl w:ilvl="0" w:tplc="B944D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8D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6E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A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2D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E2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2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AC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67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E5"/>
    <w:rsid w:val="001069E5"/>
    <w:rsid w:val="00F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3A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3A67"/>
  </w:style>
  <w:style w:type="paragraph" w:styleId="CommentSubject">
    <w:name w:val="annotation subject"/>
    <w:basedOn w:val="CommentText"/>
    <w:next w:val="CommentText"/>
    <w:link w:val="CommentSubjectChar"/>
    <w:rsid w:val="00683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3A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3A67"/>
  </w:style>
  <w:style w:type="paragraph" w:styleId="CommentSubject">
    <w:name w:val="annotation subject"/>
    <w:basedOn w:val="CommentText"/>
    <w:next w:val="CommentText"/>
    <w:link w:val="CommentSubjectChar"/>
    <w:rsid w:val="00683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2635</Characters>
  <Application>Microsoft Office Word</Application>
  <DocSecurity>4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SB00745 (Committee Report (Unamended))</vt:lpstr>
    </vt:vector>
  </TitlesOfParts>
  <Company>State of Texas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31134</dc:subject>
  <dc:creator>State of Texas</dc:creator>
  <dc:description>SB 745 by Kolkhorst-(H)Ways &amp; Means</dc:description>
  <cp:lastModifiedBy>Brianna Weis</cp:lastModifiedBy>
  <cp:revision>2</cp:revision>
  <cp:lastPrinted>2017-05-15T20:47:00Z</cp:lastPrinted>
  <dcterms:created xsi:type="dcterms:W3CDTF">2017-05-17T23:42:00Z</dcterms:created>
  <dcterms:modified xsi:type="dcterms:W3CDTF">2017-05-17T23:42:00Z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17.135.801</vt:lpwstr>
  </property>
</Properties>
</file>