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947F7" w:rsidTr="00345119">
        <w:tc>
          <w:tcPr>
            <w:tcW w:w="9576" w:type="dxa"/>
            <w:noWrap/>
          </w:tcPr>
          <w:p w:rsidR="008423E4" w:rsidRPr="0022177D" w:rsidRDefault="00D027DE" w:rsidP="00345119">
            <w:pPr>
              <w:pStyle w:val="Heading1"/>
            </w:pPr>
            <w:bookmarkStart w:id="0" w:name="_GoBack"/>
            <w:bookmarkEnd w:id="0"/>
            <w:r w:rsidRPr="00631897">
              <w:t>BILL ANALYSIS</w:t>
            </w:r>
          </w:p>
        </w:tc>
      </w:tr>
    </w:tbl>
    <w:p w:rsidR="008423E4" w:rsidRPr="0022177D" w:rsidRDefault="00D027DE" w:rsidP="008423E4">
      <w:pPr>
        <w:jc w:val="center"/>
      </w:pPr>
    </w:p>
    <w:p w:rsidR="008423E4" w:rsidRPr="00B31F0E" w:rsidRDefault="00D027DE" w:rsidP="008423E4"/>
    <w:p w:rsidR="008423E4" w:rsidRPr="00742794" w:rsidRDefault="00D027DE" w:rsidP="008423E4">
      <w:pPr>
        <w:tabs>
          <w:tab w:val="right" w:pos="9360"/>
        </w:tabs>
      </w:pPr>
    </w:p>
    <w:tbl>
      <w:tblPr>
        <w:tblW w:w="0" w:type="auto"/>
        <w:tblLayout w:type="fixed"/>
        <w:tblLook w:val="01E0" w:firstRow="1" w:lastRow="1" w:firstColumn="1" w:lastColumn="1" w:noHBand="0" w:noVBand="0"/>
      </w:tblPr>
      <w:tblGrid>
        <w:gridCol w:w="9576"/>
      </w:tblGrid>
      <w:tr w:rsidR="008947F7" w:rsidTr="00345119">
        <w:tc>
          <w:tcPr>
            <w:tcW w:w="9576" w:type="dxa"/>
          </w:tcPr>
          <w:p w:rsidR="008423E4" w:rsidRPr="00861995" w:rsidRDefault="00D027DE" w:rsidP="00345119">
            <w:pPr>
              <w:jc w:val="right"/>
            </w:pPr>
            <w:r>
              <w:t>S.B. 813</w:t>
            </w:r>
          </w:p>
        </w:tc>
      </w:tr>
      <w:tr w:rsidR="008947F7" w:rsidTr="00345119">
        <w:tc>
          <w:tcPr>
            <w:tcW w:w="9576" w:type="dxa"/>
          </w:tcPr>
          <w:p w:rsidR="008423E4" w:rsidRPr="00861995" w:rsidRDefault="00D027DE" w:rsidP="00DE1D7C">
            <w:pPr>
              <w:jc w:val="right"/>
            </w:pPr>
            <w:r>
              <w:t xml:space="preserve">By: </w:t>
            </w:r>
            <w:r>
              <w:t>Hughes</w:t>
            </w:r>
          </w:p>
        </w:tc>
      </w:tr>
      <w:tr w:rsidR="008947F7" w:rsidTr="00345119">
        <w:tc>
          <w:tcPr>
            <w:tcW w:w="9576" w:type="dxa"/>
          </w:tcPr>
          <w:p w:rsidR="008423E4" w:rsidRPr="00861995" w:rsidRDefault="00D027DE" w:rsidP="00345119">
            <w:pPr>
              <w:jc w:val="right"/>
            </w:pPr>
            <w:r>
              <w:t>Judiciary &amp; Civil Jurisprudence</w:t>
            </w:r>
          </w:p>
        </w:tc>
      </w:tr>
      <w:tr w:rsidR="008947F7" w:rsidTr="00345119">
        <w:tc>
          <w:tcPr>
            <w:tcW w:w="9576" w:type="dxa"/>
          </w:tcPr>
          <w:p w:rsidR="008423E4" w:rsidRDefault="00D027DE" w:rsidP="00345119">
            <w:pPr>
              <w:jc w:val="right"/>
            </w:pPr>
            <w:r>
              <w:t>Committee Report (Unamended)</w:t>
            </w:r>
          </w:p>
        </w:tc>
      </w:tr>
    </w:tbl>
    <w:p w:rsidR="008423E4" w:rsidRDefault="00D027DE" w:rsidP="008423E4">
      <w:pPr>
        <w:tabs>
          <w:tab w:val="right" w:pos="9360"/>
        </w:tabs>
      </w:pPr>
    </w:p>
    <w:p w:rsidR="008423E4" w:rsidRDefault="00D027DE" w:rsidP="008423E4"/>
    <w:p w:rsidR="008423E4" w:rsidRDefault="00D027DE" w:rsidP="008423E4"/>
    <w:tbl>
      <w:tblPr>
        <w:tblW w:w="0" w:type="auto"/>
        <w:tblCellMar>
          <w:left w:w="115" w:type="dxa"/>
          <w:right w:w="115" w:type="dxa"/>
        </w:tblCellMar>
        <w:tblLook w:val="01E0" w:firstRow="1" w:lastRow="1" w:firstColumn="1" w:lastColumn="1" w:noHBand="0" w:noVBand="0"/>
      </w:tblPr>
      <w:tblGrid>
        <w:gridCol w:w="9576"/>
      </w:tblGrid>
      <w:tr w:rsidR="008947F7" w:rsidTr="00345119">
        <w:tc>
          <w:tcPr>
            <w:tcW w:w="9576" w:type="dxa"/>
          </w:tcPr>
          <w:p w:rsidR="008423E4" w:rsidRPr="00A8133F" w:rsidRDefault="00D027DE" w:rsidP="00E034C5">
            <w:pPr>
              <w:rPr>
                <w:b/>
              </w:rPr>
            </w:pPr>
            <w:r w:rsidRPr="009C1E9A">
              <w:rPr>
                <w:b/>
                <w:u w:val="single"/>
              </w:rPr>
              <w:t>BACKGROUND AND PURPOSE</w:t>
            </w:r>
            <w:r>
              <w:rPr>
                <w:b/>
              </w:rPr>
              <w:t xml:space="preserve"> </w:t>
            </w:r>
          </w:p>
          <w:p w:rsidR="008423E4" w:rsidRDefault="00D027DE" w:rsidP="00E034C5"/>
          <w:p w:rsidR="008423E4" w:rsidRDefault="00D027DE" w:rsidP="00E034C5">
            <w:pPr>
              <w:pStyle w:val="Header"/>
              <w:tabs>
                <w:tab w:val="clear" w:pos="4320"/>
                <w:tab w:val="clear" w:pos="8640"/>
              </w:tabs>
              <w:jc w:val="both"/>
            </w:pPr>
            <w:r w:rsidRPr="001F25B0">
              <w:t xml:space="preserve">Interested parties have expressed concerns regarding instances in which Texans facing regulatory action by a state agency find themselves at a distinct financial disadvantage because of limited </w:t>
            </w:r>
            <w:r>
              <w:t xml:space="preserve">available </w:t>
            </w:r>
            <w:r w:rsidRPr="001F25B0">
              <w:t>resources and the relative absence of restraints aga</w:t>
            </w:r>
            <w:r w:rsidRPr="001F25B0">
              <w:t xml:space="preserve">inst the state. The parties assert that given this disparity, </w:t>
            </w:r>
            <w:r>
              <w:t xml:space="preserve">some individuals </w:t>
            </w:r>
            <w:r>
              <w:t>and</w:t>
            </w:r>
            <w:r>
              <w:t xml:space="preserve"> businesses may feel compelled to accept unfair sanctions because they cannot afford</w:t>
            </w:r>
            <w:r>
              <w:t xml:space="preserve"> to challenge </w:t>
            </w:r>
            <w:r w:rsidRPr="001F25B0">
              <w:t>an agency</w:t>
            </w:r>
            <w:r>
              <w:t>'s</w:t>
            </w:r>
            <w:r w:rsidRPr="001F25B0">
              <w:t xml:space="preserve"> </w:t>
            </w:r>
            <w:r w:rsidRPr="001F25B0">
              <w:t>pursu</w:t>
            </w:r>
            <w:r>
              <w:t>it of</w:t>
            </w:r>
            <w:r w:rsidRPr="001F25B0">
              <w:t xml:space="preserve"> </w:t>
            </w:r>
            <w:r>
              <w:t>regulatory action</w:t>
            </w:r>
            <w:r w:rsidRPr="001F25B0">
              <w:t xml:space="preserve">. </w:t>
            </w:r>
            <w:r>
              <w:t xml:space="preserve">S.B. 813 seeks to </w:t>
            </w:r>
            <w:r>
              <w:t>address this iss</w:t>
            </w:r>
            <w:r>
              <w:t>ue</w:t>
            </w:r>
            <w:r>
              <w:t xml:space="preserve"> by providing for the recovery of </w:t>
            </w:r>
            <w:r w:rsidRPr="001D3256">
              <w:t>damages</w:t>
            </w:r>
            <w:r>
              <w:t>, attorney's fees, and costs related to</w:t>
            </w:r>
            <w:r w:rsidRPr="001D3256">
              <w:t xml:space="preserve"> </w:t>
            </w:r>
            <w:r>
              <w:t>f</w:t>
            </w:r>
            <w:r w:rsidRPr="001D3256">
              <w:t>rivolous regulatory action</w:t>
            </w:r>
            <w:r>
              <w:t>s by state agencies</w:t>
            </w:r>
            <w:r w:rsidRPr="001F25B0">
              <w:t>.</w:t>
            </w:r>
          </w:p>
          <w:p w:rsidR="008423E4" w:rsidRPr="00E26B13" w:rsidRDefault="00D027DE" w:rsidP="00E034C5">
            <w:pPr>
              <w:rPr>
                <w:b/>
              </w:rPr>
            </w:pPr>
          </w:p>
        </w:tc>
      </w:tr>
      <w:tr w:rsidR="008947F7" w:rsidTr="00345119">
        <w:tc>
          <w:tcPr>
            <w:tcW w:w="9576" w:type="dxa"/>
          </w:tcPr>
          <w:p w:rsidR="0017725B" w:rsidRDefault="00D027DE" w:rsidP="00E034C5">
            <w:pPr>
              <w:rPr>
                <w:b/>
                <w:u w:val="single"/>
              </w:rPr>
            </w:pPr>
            <w:r>
              <w:rPr>
                <w:b/>
                <w:u w:val="single"/>
              </w:rPr>
              <w:t>CRIMINAL JUSTICE IMPACT</w:t>
            </w:r>
          </w:p>
          <w:p w:rsidR="0017725B" w:rsidRDefault="00D027DE" w:rsidP="00E034C5">
            <w:pPr>
              <w:rPr>
                <w:b/>
                <w:u w:val="single"/>
              </w:rPr>
            </w:pPr>
          </w:p>
          <w:p w:rsidR="002C53F7" w:rsidRPr="002C53F7" w:rsidRDefault="00D027DE" w:rsidP="00E034C5">
            <w:pPr>
              <w:jc w:val="both"/>
            </w:pPr>
            <w:r>
              <w:t xml:space="preserve">It is the committee's opinion that this bill does not expressly create a criminal offense, </w:t>
            </w:r>
            <w:r>
              <w:t>increase the punishment for an existing criminal offense or category of offenses, or change the eligibility of a person for community supervision, parole, or mandatory supervision.</w:t>
            </w:r>
          </w:p>
          <w:p w:rsidR="0017725B" w:rsidRPr="0017725B" w:rsidRDefault="00D027DE" w:rsidP="00E034C5">
            <w:pPr>
              <w:rPr>
                <w:b/>
                <w:u w:val="single"/>
              </w:rPr>
            </w:pPr>
          </w:p>
        </w:tc>
      </w:tr>
      <w:tr w:rsidR="008947F7" w:rsidTr="00345119">
        <w:tc>
          <w:tcPr>
            <w:tcW w:w="9576" w:type="dxa"/>
          </w:tcPr>
          <w:p w:rsidR="008423E4" w:rsidRPr="00A8133F" w:rsidRDefault="00D027DE" w:rsidP="00E034C5">
            <w:pPr>
              <w:rPr>
                <w:b/>
              </w:rPr>
            </w:pPr>
            <w:r w:rsidRPr="009C1E9A">
              <w:rPr>
                <w:b/>
                <w:u w:val="single"/>
              </w:rPr>
              <w:t>RULEMAKING AUTHORITY</w:t>
            </w:r>
            <w:r>
              <w:rPr>
                <w:b/>
              </w:rPr>
              <w:t xml:space="preserve"> </w:t>
            </w:r>
          </w:p>
          <w:p w:rsidR="008423E4" w:rsidRDefault="00D027DE" w:rsidP="00E034C5"/>
          <w:p w:rsidR="002C53F7" w:rsidRDefault="00D027DE" w:rsidP="00E034C5">
            <w:pPr>
              <w:pStyle w:val="Header"/>
              <w:tabs>
                <w:tab w:val="clear" w:pos="4320"/>
                <w:tab w:val="clear" w:pos="8640"/>
              </w:tabs>
              <w:jc w:val="both"/>
            </w:pPr>
            <w:r>
              <w:t xml:space="preserve">It is the committee's opinion that this bill does </w:t>
            </w:r>
            <w:r>
              <w:t>not expressly grant any additional rulemaking authority to a state officer, department, agency, or institution.</w:t>
            </w:r>
          </w:p>
          <w:p w:rsidR="008423E4" w:rsidRPr="00E21FDC" w:rsidRDefault="00D027DE" w:rsidP="00E034C5">
            <w:pPr>
              <w:rPr>
                <w:b/>
              </w:rPr>
            </w:pPr>
          </w:p>
        </w:tc>
      </w:tr>
      <w:tr w:rsidR="008947F7" w:rsidTr="00345119">
        <w:tc>
          <w:tcPr>
            <w:tcW w:w="9576" w:type="dxa"/>
          </w:tcPr>
          <w:p w:rsidR="008423E4" w:rsidRPr="00A8133F" w:rsidRDefault="00D027DE" w:rsidP="00E034C5">
            <w:pPr>
              <w:rPr>
                <w:b/>
              </w:rPr>
            </w:pPr>
            <w:r w:rsidRPr="009C1E9A">
              <w:rPr>
                <w:b/>
                <w:u w:val="single"/>
              </w:rPr>
              <w:t>ANALYSIS</w:t>
            </w:r>
            <w:r>
              <w:rPr>
                <w:b/>
              </w:rPr>
              <w:t xml:space="preserve"> </w:t>
            </w:r>
          </w:p>
          <w:p w:rsidR="008423E4" w:rsidRDefault="00D027DE" w:rsidP="00E034C5"/>
          <w:p w:rsidR="008423E4" w:rsidRDefault="00D027DE" w:rsidP="00E034C5">
            <w:pPr>
              <w:pStyle w:val="Header"/>
              <w:jc w:val="both"/>
            </w:pPr>
            <w:r>
              <w:t>S.B. 813</w:t>
            </w:r>
            <w:r>
              <w:t xml:space="preserve"> amends the Civil Practice and Remedies Code to authorize a claimant </w:t>
            </w:r>
            <w:r>
              <w:t xml:space="preserve">to bring an action against a state agency if the state agency takes a regulatory action against the claimant that is frivolous, unreasonable, or without foundation. The bill authorizes </w:t>
            </w:r>
            <w:r>
              <w:t>a</w:t>
            </w:r>
            <w:r>
              <w:t xml:space="preserve"> claimant in such an action to recover, in addition to all other costs</w:t>
            </w:r>
            <w:r>
              <w:t xml:space="preserve"> allowed by law or rule, the </w:t>
            </w:r>
            <w:r w:rsidRPr="002C53F7">
              <w:t>damages caused by the state agency's frivolous regulatory action, reasonable attorney's fees, and court costs.</w:t>
            </w:r>
            <w:r>
              <w:t xml:space="preserve"> The bill authorizes a </w:t>
            </w:r>
            <w:r>
              <w:t>person to recover, in addition</w:t>
            </w:r>
            <w:r>
              <w:t xml:space="preserve"> to all other costs allowed by law or rule, reasonable attorney'</w:t>
            </w:r>
            <w:r>
              <w:t>s fees and costs incurred in defending against a frivolous regulatory action during an administrative proceeding and judicial review of that proceeding if the person prevails in the judicial review of an administrative proceeding and the state agency is un</w:t>
            </w:r>
            <w:r>
              <w:t>able to demonstrate that the agency has good cause for the regulatory action.</w:t>
            </w:r>
          </w:p>
          <w:p w:rsidR="008423E4" w:rsidRPr="00835628" w:rsidRDefault="00D027DE" w:rsidP="00E034C5">
            <w:pPr>
              <w:rPr>
                <w:b/>
              </w:rPr>
            </w:pPr>
          </w:p>
        </w:tc>
      </w:tr>
      <w:tr w:rsidR="008947F7" w:rsidTr="00345119">
        <w:tc>
          <w:tcPr>
            <w:tcW w:w="9576" w:type="dxa"/>
          </w:tcPr>
          <w:p w:rsidR="008423E4" w:rsidRPr="00A8133F" w:rsidRDefault="00D027DE" w:rsidP="00E034C5">
            <w:pPr>
              <w:rPr>
                <w:b/>
              </w:rPr>
            </w:pPr>
            <w:r w:rsidRPr="009C1E9A">
              <w:rPr>
                <w:b/>
                <w:u w:val="single"/>
              </w:rPr>
              <w:t>EFFECTIVE DATE</w:t>
            </w:r>
            <w:r>
              <w:rPr>
                <w:b/>
              </w:rPr>
              <w:t xml:space="preserve"> </w:t>
            </w:r>
          </w:p>
          <w:p w:rsidR="008423E4" w:rsidRDefault="00D027DE" w:rsidP="00E034C5"/>
          <w:p w:rsidR="008423E4" w:rsidRPr="003624F2" w:rsidRDefault="00D027DE" w:rsidP="00E034C5">
            <w:pPr>
              <w:pStyle w:val="Header"/>
              <w:tabs>
                <w:tab w:val="clear" w:pos="4320"/>
                <w:tab w:val="clear" w:pos="8640"/>
              </w:tabs>
              <w:jc w:val="both"/>
            </w:pPr>
            <w:r>
              <w:t>September 1, 2017.</w:t>
            </w:r>
          </w:p>
          <w:p w:rsidR="008423E4" w:rsidRPr="00233FDB" w:rsidRDefault="00D027DE" w:rsidP="00E034C5">
            <w:pPr>
              <w:rPr>
                <w:b/>
              </w:rPr>
            </w:pPr>
          </w:p>
        </w:tc>
      </w:tr>
    </w:tbl>
    <w:p w:rsidR="008423E4" w:rsidRPr="00BE0E75" w:rsidRDefault="00D027DE" w:rsidP="008423E4">
      <w:pPr>
        <w:spacing w:line="480" w:lineRule="auto"/>
        <w:jc w:val="both"/>
        <w:rPr>
          <w:rFonts w:ascii="Arial" w:hAnsi="Arial"/>
          <w:sz w:val="16"/>
          <w:szCs w:val="16"/>
        </w:rPr>
      </w:pPr>
    </w:p>
    <w:p w:rsidR="004108C3" w:rsidRPr="008423E4" w:rsidRDefault="00D027DE"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027DE">
      <w:r>
        <w:separator/>
      </w:r>
    </w:p>
  </w:endnote>
  <w:endnote w:type="continuationSeparator" w:id="0">
    <w:p w:rsidR="00000000" w:rsidRDefault="00D02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D027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947F7" w:rsidTr="009C1E9A">
      <w:trPr>
        <w:cantSplit/>
      </w:trPr>
      <w:tc>
        <w:tcPr>
          <w:tcW w:w="0" w:type="pct"/>
        </w:tcPr>
        <w:p w:rsidR="00137D90" w:rsidRDefault="00D027DE" w:rsidP="009C1E9A">
          <w:pPr>
            <w:pStyle w:val="Footer"/>
            <w:tabs>
              <w:tab w:val="clear" w:pos="8640"/>
              <w:tab w:val="right" w:pos="9360"/>
            </w:tabs>
          </w:pPr>
        </w:p>
      </w:tc>
      <w:tc>
        <w:tcPr>
          <w:tcW w:w="2395" w:type="pct"/>
        </w:tcPr>
        <w:p w:rsidR="00137D90" w:rsidRDefault="00D027DE" w:rsidP="009C1E9A">
          <w:pPr>
            <w:pStyle w:val="Footer"/>
            <w:tabs>
              <w:tab w:val="clear" w:pos="8640"/>
              <w:tab w:val="right" w:pos="9360"/>
            </w:tabs>
          </w:pPr>
        </w:p>
        <w:p w:rsidR="001A4310" w:rsidRDefault="00D027DE" w:rsidP="009C1E9A">
          <w:pPr>
            <w:pStyle w:val="Footer"/>
            <w:tabs>
              <w:tab w:val="clear" w:pos="8640"/>
              <w:tab w:val="right" w:pos="9360"/>
            </w:tabs>
          </w:pPr>
        </w:p>
        <w:p w:rsidR="00137D90" w:rsidRDefault="00D027DE" w:rsidP="009C1E9A">
          <w:pPr>
            <w:pStyle w:val="Footer"/>
            <w:tabs>
              <w:tab w:val="clear" w:pos="8640"/>
              <w:tab w:val="right" w:pos="9360"/>
            </w:tabs>
          </w:pPr>
        </w:p>
      </w:tc>
      <w:tc>
        <w:tcPr>
          <w:tcW w:w="2453" w:type="pct"/>
        </w:tcPr>
        <w:p w:rsidR="00137D90" w:rsidRDefault="00D027DE" w:rsidP="009C1E9A">
          <w:pPr>
            <w:pStyle w:val="Footer"/>
            <w:tabs>
              <w:tab w:val="clear" w:pos="8640"/>
              <w:tab w:val="right" w:pos="9360"/>
            </w:tabs>
            <w:jc w:val="right"/>
          </w:pPr>
        </w:p>
      </w:tc>
    </w:tr>
    <w:tr w:rsidR="008947F7" w:rsidTr="009C1E9A">
      <w:trPr>
        <w:cantSplit/>
      </w:trPr>
      <w:tc>
        <w:tcPr>
          <w:tcW w:w="0" w:type="pct"/>
        </w:tcPr>
        <w:p w:rsidR="00EC379B" w:rsidRDefault="00D027DE" w:rsidP="009C1E9A">
          <w:pPr>
            <w:pStyle w:val="Footer"/>
            <w:tabs>
              <w:tab w:val="clear" w:pos="8640"/>
              <w:tab w:val="right" w:pos="9360"/>
            </w:tabs>
          </w:pPr>
        </w:p>
      </w:tc>
      <w:tc>
        <w:tcPr>
          <w:tcW w:w="2395" w:type="pct"/>
        </w:tcPr>
        <w:p w:rsidR="00EC379B" w:rsidRPr="009C1E9A" w:rsidRDefault="00D027DE" w:rsidP="009C1E9A">
          <w:pPr>
            <w:pStyle w:val="Footer"/>
            <w:tabs>
              <w:tab w:val="clear" w:pos="8640"/>
              <w:tab w:val="right" w:pos="9360"/>
            </w:tabs>
            <w:rPr>
              <w:rFonts w:ascii="Shruti" w:hAnsi="Shruti"/>
              <w:sz w:val="22"/>
            </w:rPr>
          </w:pPr>
          <w:r>
            <w:rPr>
              <w:rFonts w:ascii="Shruti" w:hAnsi="Shruti"/>
              <w:sz w:val="22"/>
            </w:rPr>
            <w:t>85R 31404</w:t>
          </w:r>
        </w:p>
      </w:tc>
      <w:tc>
        <w:tcPr>
          <w:tcW w:w="2453" w:type="pct"/>
        </w:tcPr>
        <w:p w:rsidR="00EC379B" w:rsidRDefault="00D027DE" w:rsidP="009C1E9A">
          <w:pPr>
            <w:pStyle w:val="Footer"/>
            <w:tabs>
              <w:tab w:val="clear" w:pos="8640"/>
              <w:tab w:val="right" w:pos="9360"/>
            </w:tabs>
            <w:jc w:val="right"/>
          </w:pPr>
          <w:r>
            <w:fldChar w:fldCharType="begin"/>
          </w:r>
          <w:r>
            <w:instrText xml:space="preserve"> DOCPROPERTY  OTID  \* MERGEFORMAT </w:instrText>
          </w:r>
          <w:r>
            <w:fldChar w:fldCharType="separate"/>
          </w:r>
          <w:r>
            <w:t>17.136.837</w:t>
          </w:r>
          <w:r>
            <w:fldChar w:fldCharType="end"/>
          </w:r>
        </w:p>
      </w:tc>
    </w:tr>
    <w:tr w:rsidR="008947F7" w:rsidTr="009C1E9A">
      <w:trPr>
        <w:cantSplit/>
      </w:trPr>
      <w:tc>
        <w:tcPr>
          <w:tcW w:w="0" w:type="pct"/>
        </w:tcPr>
        <w:p w:rsidR="00EC379B" w:rsidRDefault="00D027DE" w:rsidP="009C1E9A">
          <w:pPr>
            <w:pStyle w:val="Footer"/>
            <w:tabs>
              <w:tab w:val="clear" w:pos="4320"/>
              <w:tab w:val="clear" w:pos="8640"/>
              <w:tab w:val="left" w:pos="2865"/>
            </w:tabs>
          </w:pPr>
        </w:p>
      </w:tc>
      <w:tc>
        <w:tcPr>
          <w:tcW w:w="2395" w:type="pct"/>
        </w:tcPr>
        <w:p w:rsidR="00EC379B" w:rsidRPr="009C1E9A" w:rsidRDefault="00D027DE" w:rsidP="009C1E9A">
          <w:pPr>
            <w:pStyle w:val="Footer"/>
            <w:tabs>
              <w:tab w:val="clear" w:pos="4320"/>
              <w:tab w:val="clear" w:pos="8640"/>
              <w:tab w:val="left" w:pos="2865"/>
            </w:tabs>
            <w:rPr>
              <w:rFonts w:ascii="Shruti" w:hAnsi="Shruti"/>
              <w:sz w:val="22"/>
            </w:rPr>
          </w:pPr>
        </w:p>
      </w:tc>
      <w:tc>
        <w:tcPr>
          <w:tcW w:w="2453" w:type="pct"/>
        </w:tcPr>
        <w:p w:rsidR="00EC379B" w:rsidRDefault="00D027DE" w:rsidP="006D504F">
          <w:pPr>
            <w:pStyle w:val="Footer"/>
            <w:rPr>
              <w:rStyle w:val="PageNumber"/>
            </w:rPr>
          </w:pPr>
        </w:p>
        <w:p w:rsidR="00EC379B" w:rsidRDefault="00D027DE" w:rsidP="009C1E9A">
          <w:pPr>
            <w:pStyle w:val="Footer"/>
            <w:tabs>
              <w:tab w:val="clear" w:pos="8640"/>
              <w:tab w:val="right" w:pos="9360"/>
            </w:tabs>
            <w:jc w:val="right"/>
          </w:pPr>
        </w:p>
      </w:tc>
    </w:tr>
    <w:tr w:rsidR="008947F7" w:rsidTr="009C1E9A">
      <w:trPr>
        <w:cantSplit/>
        <w:trHeight w:val="323"/>
      </w:trPr>
      <w:tc>
        <w:tcPr>
          <w:tcW w:w="0" w:type="pct"/>
          <w:gridSpan w:val="3"/>
        </w:tcPr>
        <w:p w:rsidR="00EC379B" w:rsidRDefault="00D027D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027DE" w:rsidP="009C1E9A">
          <w:pPr>
            <w:pStyle w:val="Footer"/>
            <w:tabs>
              <w:tab w:val="clear" w:pos="8640"/>
              <w:tab w:val="right" w:pos="9360"/>
            </w:tabs>
            <w:jc w:val="center"/>
          </w:pPr>
        </w:p>
      </w:tc>
    </w:tr>
  </w:tbl>
  <w:p w:rsidR="00EC379B" w:rsidRPr="00FF6F72" w:rsidRDefault="00D027DE"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D02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027DE">
      <w:r>
        <w:separator/>
      </w:r>
    </w:p>
  </w:footnote>
  <w:footnote w:type="continuationSeparator" w:id="0">
    <w:p w:rsidR="00000000" w:rsidRDefault="00D02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D027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D027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D027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F7"/>
    <w:rsid w:val="008947F7"/>
    <w:rsid w:val="00D02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C53F7"/>
    <w:rPr>
      <w:sz w:val="16"/>
      <w:szCs w:val="16"/>
    </w:rPr>
  </w:style>
  <w:style w:type="paragraph" w:styleId="CommentText">
    <w:name w:val="annotation text"/>
    <w:basedOn w:val="Normal"/>
    <w:link w:val="CommentTextChar"/>
    <w:rsid w:val="002C53F7"/>
    <w:rPr>
      <w:sz w:val="20"/>
      <w:szCs w:val="20"/>
    </w:rPr>
  </w:style>
  <w:style w:type="character" w:customStyle="1" w:styleId="CommentTextChar">
    <w:name w:val="Comment Text Char"/>
    <w:basedOn w:val="DefaultParagraphFont"/>
    <w:link w:val="CommentText"/>
    <w:rsid w:val="002C53F7"/>
  </w:style>
  <w:style w:type="paragraph" w:styleId="CommentSubject">
    <w:name w:val="annotation subject"/>
    <w:basedOn w:val="CommentText"/>
    <w:next w:val="CommentText"/>
    <w:link w:val="CommentSubjectChar"/>
    <w:rsid w:val="002C53F7"/>
    <w:rPr>
      <w:b/>
      <w:bCs/>
    </w:rPr>
  </w:style>
  <w:style w:type="character" w:customStyle="1" w:styleId="CommentSubjectChar">
    <w:name w:val="Comment Subject Char"/>
    <w:basedOn w:val="CommentTextChar"/>
    <w:link w:val="CommentSubject"/>
    <w:rsid w:val="002C53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C53F7"/>
    <w:rPr>
      <w:sz w:val="16"/>
      <w:szCs w:val="16"/>
    </w:rPr>
  </w:style>
  <w:style w:type="paragraph" w:styleId="CommentText">
    <w:name w:val="annotation text"/>
    <w:basedOn w:val="Normal"/>
    <w:link w:val="CommentTextChar"/>
    <w:rsid w:val="002C53F7"/>
    <w:rPr>
      <w:sz w:val="20"/>
      <w:szCs w:val="20"/>
    </w:rPr>
  </w:style>
  <w:style w:type="character" w:customStyle="1" w:styleId="CommentTextChar">
    <w:name w:val="Comment Text Char"/>
    <w:basedOn w:val="DefaultParagraphFont"/>
    <w:link w:val="CommentText"/>
    <w:rsid w:val="002C53F7"/>
  </w:style>
  <w:style w:type="paragraph" w:styleId="CommentSubject">
    <w:name w:val="annotation subject"/>
    <w:basedOn w:val="CommentText"/>
    <w:next w:val="CommentText"/>
    <w:link w:val="CommentSubjectChar"/>
    <w:rsid w:val="002C53F7"/>
    <w:rPr>
      <w:b/>
      <w:bCs/>
    </w:rPr>
  </w:style>
  <w:style w:type="character" w:customStyle="1" w:styleId="CommentSubjectChar">
    <w:name w:val="Comment Subject Char"/>
    <w:basedOn w:val="CommentTextChar"/>
    <w:link w:val="CommentSubject"/>
    <w:rsid w:val="002C53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1872</Characters>
  <Application>Microsoft Office Word</Application>
  <DocSecurity>4</DocSecurity>
  <Lines>50</Lines>
  <Paragraphs>15</Paragraphs>
  <ScaleCrop>false</ScaleCrop>
  <HeadingPairs>
    <vt:vector size="2" baseType="variant">
      <vt:variant>
        <vt:lpstr>Title</vt:lpstr>
      </vt:variant>
      <vt:variant>
        <vt:i4>1</vt:i4>
      </vt:variant>
    </vt:vector>
  </HeadingPairs>
  <TitlesOfParts>
    <vt:vector size="1" baseType="lpstr">
      <vt:lpstr>BA - SB00813 (Committee Report (Unamended))</vt:lpstr>
    </vt:vector>
  </TitlesOfParts>
  <Company>State of Texas</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31404</dc:subject>
  <dc:creator>State of Texas</dc:creator>
  <dc:description>SB 813 by Hughes-(H)Judiciary &amp; Civil Jurisprudence</dc:description>
  <cp:lastModifiedBy>Molly Hoffman-Bricker</cp:lastModifiedBy>
  <cp:revision>2</cp:revision>
  <cp:lastPrinted>2003-11-26T17:21:00Z</cp:lastPrinted>
  <dcterms:created xsi:type="dcterms:W3CDTF">2017-05-16T21:36:00Z</dcterms:created>
  <dcterms:modified xsi:type="dcterms:W3CDTF">2017-05-16T21:36:00Z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17.136.837</vt:lpwstr>
  </property>
</Properties>
</file>