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C08CD" w:rsidTr="00345119">
        <w:tc>
          <w:tcPr>
            <w:tcW w:w="9576" w:type="dxa"/>
            <w:noWrap/>
          </w:tcPr>
          <w:p w:rsidR="008423E4" w:rsidRPr="0022177D" w:rsidRDefault="00BC30C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C30CD" w:rsidP="008423E4">
      <w:pPr>
        <w:jc w:val="center"/>
      </w:pPr>
    </w:p>
    <w:p w:rsidR="008423E4" w:rsidRPr="00B31F0E" w:rsidRDefault="00BC30CD" w:rsidP="008423E4"/>
    <w:p w:rsidR="008423E4" w:rsidRPr="00742794" w:rsidRDefault="00BC30C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C08CD" w:rsidTr="00345119">
        <w:tc>
          <w:tcPr>
            <w:tcW w:w="9576" w:type="dxa"/>
          </w:tcPr>
          <w:p w:rsidR="008423E4" w:rsidRPr="00861995" w:rsidRDefault="00BC30CD" w:rsidP="00345119">
            <w:pPr>
              <w:jc w:val="right"/>
            </w:pPr>
            <w:r>
              <w:t>C.S.S.B. 826</w:t>
            </w:r>
          </w:p>
        </w:tc>
      </w:tr>
      <w:tr w:rsidR="001C08CD" w:rsidTr="00345119">
        <w:tc>
          <w:tcPr>
            <w:tcW w:w="9576" w:type="dxa"/>
          </w:tcPr>
          <w:p w:rsidR="008423E4" w:rsidRPr="00861995" w:rsidRDefault="00BC30CD" w:rsidP="005C29B4">
            <w:pPr>
              <w:jc w:val="right"/>
            </w:pPr>
            <w:r>
              <w:t xml:space="preserve">By: </w:t>
            </w:r>
            <w:r>
              <w:t>Taylor, Larry</w:t>
            </w:r>
          </w:p>
        </w:tc>
      </w:tr>
      <w:tr w:rsidR="001C08CD" w:rsidTr="00345119">
        <w:tc>
          <w:tcPr>
            <w:tcW w:w="9576" w:type="dxa"/>
          </w:tcPr>
          <w:p w:rsidR="008423E4" w:rsidRPr="00861995" w:rsidRDefault="00BC30CD" w:rsidP="00345119">
            <w:pPr>
              <w:jc w:val="right"/>
            </w:pPr>
            <w:r>
              <w:t>Public Education</w:t>
            </w:r>
          </w:p>
        </w:tc>
      </w:tr>
      <w:tr w:rsidR="001C08CD" w:rsidTr="00345119">
        <w:tc>
          <w:tcPr>
            <w:tcW w:w="9576" w:type="dxa"/>
          </w:tcPr>
          <w:p w:rsidR="008423E4" w:rsidRDefault="00BC30C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C30CD" w:rsidP="008423E4">
      <w:pPr>
        <w:tabs>
          <w:tab w:val="right" w:pos="9360"/>
        </w:tabs>
      </w:pPr>
    </w:p>
    <w:p w:rsidR="008423E4" w:rsidRDefault="00BC30CD" w:rsidP="008423E4"/>
    <w:p w:rsidR="008423E4" w:rsidRDefault="00BC30C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1C08CD" w:rsidTr="005C29B4">
        <w:tc>
          <w:tcPr>
            <w:tcW w:w="9582" w:type="dxa"/>
          </w:tcPr>
          <w:p w:rsidR="008423E4" w:rsidRPr="00A8133F" w:rsidRDefault="00BC30CD" w:rsidP="007D782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C30CD" w:rsidP="007D7823"/>
          <w:p w:rsidR="008423E4" w:rsidRDefault="00BC30CD" w:rsidP="007D7823">
            <w:pPr>
              <w:pStyle w:val="Header"/>
              <w:jc w:val="both"/>
            </w:pPr>
            <w:r>
              <w:t xml:space="preserve">Interested parties suggest </w:t>
            </w:r>
            <w:r>
              <w:t xml:space="preserve">that a certain </w:t>
            </w:r>
            <w:r>
              <w:t>change</w:t>
            </w:r>
            <w:r>
              <w:t xml:space="preserve"> is needed to the law relating to</w:t>
            </w:r>
            <w:r>
              <w:t xml:space="preserve"> </w:t>
            </w:r>
            <w:r>
              <w:t xml:space="preserve">the sequencing of required English language arts courses and mathematics courses in schools to </w:t>
            </w:r>
            <w:r>
              <w:t>allow flexibility and personalization of learning</w:t>
            </w:r>
            <w:r>
              <w:t xml:space="preserve"> for students</w:t>
            </w:r>
            <w:r>
              <w:t xml:space="preserve">. C.S.S.B. 826 </w:t>
            </w:r>
            <w:r>
              <w:t xml:space="preserve">seeks to make that </w:t>
            </w:r>
            <w:r>
              <w:t>change</w:t>
            </w:r>
            <w:r>
              <w:t xml:space="preserve"> for that purpose</w:t>
            </w:r>
            <w:r>
              <w:t>.</w:t>
            </w:r>
          </w:p>
          <w:p w:rsidR="008423E4" w:rsidRPr="00E26B13" w:rsidRDefault="00BC30CD" w:rsidP="007D7823">
            <w:pPr>
              <w:rPr>
                <w:b/>
              </w:rPr>
            </w:pPr>
          </w:p>
        </w:tc>
      </w:tr>
      <w:tr w:rsidR="001C08CD" w:rsidTr="005C29B4">
        <w:tc>
          <w:tcPr>
            <w:tcW w:w="9582" w:type="dxa"/>
          </w:tcPr>
          <w:p w:rsidR="0017725B" w:rsidRDefault="00BC30CD" w:rsidP="007D78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C30CD" w:rsidP="007D7823">
            <w:pPr>
              <w:rPr>
                <w:b/>
                <w:u w:val="single"/>
              </w:rPr>
            </w:pPr>
          </w:p>
          <w:p w:rsidR="007D0F11" w:rsidRPr="007D0F11" w:rsidRDefault="00BC30CD" w:rsidP="007D7823">
            <w:pPr>
              <w:jc w:val="both"/>
            </w:pPr>
            <w:r>
              <w:t>It is the com</w:t>
            </w:r>
            <w:r>
              <w:t>mittee's opinion that this bill does not expressly create a criminal offense, increase the punishment for an existing criminal offense or category of offenses, or change the eligibility of a person for community supervision, parole, or mandatory supervisio</w:t>
            </w:r>
            <w:r>
              <w:t>n.</w:t>
            </w:r>
          </w:p>
          <w:p w:rsidR="0017725B" w:rsidRPr="0017725B" w:rsidRDefault="00BC30CD" w:rsidP="007D7823">
            <w:pPr>
              <w:rPr>
                <w:b/>
                <w:u w:val="single"/>
              </w:rPr>
            </w:pPr>
          </w:p>
        </w:tc>
      </w:tr>
      <w:tr w:rsidR="001C08CD" w:rsidTr="005C29B4">
        <w:tc>
          <w:tcPr>
            <w:tcW w:w="9582" w:type="dxa"/>
          </w:tcPr>
          <w:p w:rsidR="008423E4" w:rsidRPr="00A8133F" w:rsidRDefault="00BC30CD" w:rsidP="007D782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C30CD" w:rsidP="007D7823"/>
          <w:p w:rsidR="007D0F11" w:rsidRDefault="00BC30CD" w:rsidP="007D78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C30CD" w:rsidP="007D7823">
            <w:pPr>
              <w:rPr>
                <w:b/>
              </w:rPr>
            </w:pPr>
          </w:p>
        </w:tc>
      </w:tr>
      <w:tr w:rsidR="001C08CD" w:rsidTr="005C29B4">
        <w:tc>
          <w:tcPr>
            <w:tcW w:w="9582" w:type="dxa"/>
          </w:tcPr>
          <w:p w:rsidR="008423E4" w:rsidRPr="00A8133F" w:rsidRDefault="00BC30CD" w:rsidP="007D782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C30CD" w:rsidP="007D7823"/>
          <w:p w:rsidR="008423E4" w:rsidRDefault="00BC30CD" w:rsidP="007D78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826</w:t>
            </w:r>
            <w:r>
              <w:t xml:space="preserve"> amends </w:t>
            </w:r>
            <w:r w:rsidRPr="003853E8">
              <w:t xml:space="preserve">Section 28.025(b-2), Education </w:t>
            </w:r>
            <w:r w:rsidRPr="003853E8">
              <w:t>Code, as amended by Chapter</w:t>
            </w:r>
            <w:r>
              <w:t>s</w:t>
            </w:r>
            <w:r w:rsidRPr="003853E8">
              <w:t xml:space="preserve"> 211 (H.B. 5)</w:t>
            </w:r>
            <w:r>
              <w:t xml:space="preserve"> and 214 (H.B. 2201)</w:t>
            </w:r>
            <w:r w:rsidRPr="003853E8">
              <w:t>, Acts of the 83rd Legislature, Regular Session, 2013,</w:t>
            </w:r>
            <w:r>
              <w:t xml:space="preserve"> </w:t>
            </w:r>
            <w:r>
              <w:t xml:space="preserve">to harmonize the amendments made by those </w:t>
            </w:r>
            <w:r>
              <w:t>acts</w:t>
            </w:r>
            <w:r>
              <w:t xml:space="preserve"> </w:t>
            </w:r>
            <w:r>
              <w:t xml:space="preserve">and </w:t>
            </w:r>
            <w:r>
              <w:t xml:space="preserve">to remove </w:t>
            </w:r>
            <w:r>
              <w:t>a student's successful completion of English I, II, and III as a prerequisite t</w:t>
            </w:r>
            <w:r>
              <w:t xml:space="preserve">o the student complying with the curriculum requirement for an advanced English course and </w:t>
            </w:r>
            <w:r>
              <w:t>a student's successful completion of Algebra I and geometry as a prerequisite to compliance with the curriculum requirement for an advanced mathematics course, as pr</w:t>
            </w:r>
            <w:r>
              <w:t>ovided by the State Board of Education</w:t>
            </w:r>
            <w:r>
              <w:t xml:space="preserve">. The bill's provisions apply </w:t>
            </w:r>
            <w:r w:rsidRPr="00D94FEA">
              <w:t>beginning with the 2017-2018 school year.</w:t>
            </w:r>
          </w:p>
          <w:p w:rsidR="008423E4" w:rsidRPr="00835628" w:rsidRDefault="00BC30CD" w:rsidP="007D7823">
            <w:pPr>
              <w:rPr>
                <w:b/>
              </w:rPr>
            </w:pPr>
          </w:p>
        </w:tc>
      </w:tr>
      <w:tr w:rsidR="001C08CD" w:rsidTr="005C29B4">
        <w:tc>
          <w:tcPr>
            <w:tcW w:w="9582" w:type="dxa"/>
          </w:tcPr>
          <w:p w:rsidR="008423E4" w:rsidRPr="00A8133F" w:rsidRDefault="00BC30CD" w:rsidP="007D782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C30CD" w:rsidP="007D7823"/>
          <w:p w:rsidR="008423E4" w:rsidRPr="003624F2" w:rsidRDefault="00BC30CD" w:rsidP="007D78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BC30CD" w:rsidP="007D7823">
            <w:pPr>
              <w:rPr>
                <w:b/>
              </w:rPr>
            </w:pPr>
          </w:p>
        </w:tc>
      </w:tr>
      <w:tr w:rsidR="001C08CD" w:rsidTr="005C29B4">
        <w:tc>
          <w:tcPr>
            <w:tcW w:w="9582" w:type="dxa"/>
          </w:tcPr>
          <w:p w:rsidR="005C29B4" w:rsidRDefault="00BC30CD" w:rsidP="007D782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</w:t>
            </w:r>
            <w:r>
              <w:rPr>
                <w:b/>
                <w:u w:val="single"/>
              </w:rPr>
              <w:t>TUTE</w:t>
            </w:r>
          </w:p>
          <w:p w:rsidR="007C4DA0" w:rsidRDefault="00BC30CD" w:rsidP="007D7823">
            <w:pPr>
              <w:jc w:val="both"/>
            </w:pPr>
          </w:p>
          <w:p w:rsidR="007C4DA0" w:rsidRDefault="00BC30CD" w:rsidP="007D7823">
            <w:pPr>
              <w:jc w:val="both"/>
            </w:pPr>
            <w:r>
              <w:t>While C.S.S.B. 826 may differ from the engrossed in minor or nonsubstantive ways, the following comparison is organized and formatted in a manner that indicates the substantial differences between the engrossed and committee substitute versions of th</w:t>
            </w:r>
            <w:r>
              <w:t>e bill.</w:t>
            </w:r>
          </w:p>
          <w:p w:rsidR="007C4DA0" w:rsidRPr="009775E1" w:rsidRDefault="00BC30CD" w:rsidP="007D7823">
            <w:pPr>
              <w:jc w:val="both"/>
            </w:pPr>
          </w:p>
        </w:tc>
      </w:tr>
      <w:tr w:rsidR="001C08CD" w:rsidTr="005C29B4">
        <w:tc>
          <w:tcPr>
            <w:tcW w:w="9582" w:type="dxa"/>
          </w:tcPr>
          <w:tbl>
            <w:tblPr>
              <w:tblW w:w="9357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77"/>
            </w:tblGrid>
            <w:tr w:rsidR="001C08CD" w:rsidTr="009775E1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5C29B4" w:rsidRDefault="00BC30CD" w:rsidP="007D7823">
                  <w:pPr>
                    <w:jc w:val="center"/>
                  </w:pPr>
                  <w:r>
                    <w:t>SENATE ENGROSSED</w:t>
                  </w:r>
                </w:p>
              </w:tc>
              <w:tc>
                <w:tcPr>
                  <w:tcW w:w="4677" w:type="dxa"/>
                  <w:tcMar>
                    <w:bottom w:w="188" w:type="dxa"/>
                  </w:tcMar>
                </w:tcPr>
                <w:p w:rsidR="005C29B4" w:rsidRDefault="00BC30CD" w:rsidP="007D7823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1C08CD" w:rsidTr="009775E1">
              <w:tc>
                <w:tcPr>
                  <w:tcW w:w="4680" w:type="dxa"/>
                  <w:tcMar>
                    <w:right w:w="360" w:type="dxa"/>
                  </w:tcMar>
                </w:tcPr>
                <w:p w:rsidR="005C29B4" w:rsidRDefault="00BC30CD" w:rsidP="007D7823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 xml:space="preserve">Section 28.025(b-2), Education Code, as amended by Chapter 211 (H.B. 5), Acts of the 83rd Legislature, </w:t>
                  </w:r>
                  <w:r>
                    <w:lastRenderedPageBreak/>
                    <w:t>Regular Session, 2013, is amended to read as follows:</w:t>
                  </w:r>
                </w:p>
                <w:p w:rsidR="005C29B4" w:rsidRDefault="00BC30CD" w:rsidP="007D7823">
                  <w:pPr>
                    <w:jc w:val="both"/>
                  </w:pPr>
                  <w:r>
                    <w:t>(b-2)</w:t>
                  </w:r>
                  <w:r>
                    <w:t xml:space="preserve"> </w:t>
                  </w:r>
                  <w:r>
                    <w:t xml:space="preserve">In adopting rules under </w:t>
                  </w:r>
                  <w:r>
                    <w:t>Subsection (b-1), the State Board of Education shall provide for a student to comply with the curriculum requirements for an advanced English course under Subsection (b-1)(1) [</w:t>
                  </w:r>
                  <w:r>
                    <w:rPr>
                      <w:strike/>
                    </w:rPr>
                    <w:t>taken after successful completion of English I, English II, and English III</w:t>
                  </w:r>
                  <w:r>
                    <w:t>], fo</w:t>
                  </w:r>
                  <w:r>
                    <w:t>r an advanced mathematics course under Subsection (b-1)(2) [</w:t>
                  </w:r>
                  <w:r>
                    <w:rPr>
                      <w:strike/>
                    </w:rPr>
                    <w:t>taken after the successful completion of Algebra I and geometry</w:t>
                  </w:r>
                  <w:r>
                    <w:t xml:space="preserve">], and for any advanced science course under Subsection (b-1)(3) by successfully completing a course in the appropriate content area </w:t>
                  </w:r>
                  <w:r>
                    <w:t>that has been approved as an advanced course by board rule or that is offered as an advanced course for credit without board approval as provided by Section 28.002(g-1).</w:t>
                  </w:r>
                </w:p>
                <w:p w:rsidR="005C29B4" w:rsidRDefault="00BC30CD" w:rsidP="007D7823">
                  <w:pPr>
                    <w:jc w:val="both"/>
                  </w:pPr>
                </w:p>
              </w:tc>
              <w:tc>
                <w:tcPr>
                  <w:tcW w:w="4677" w:type="dxa"/>
                  <w:tcMar>
                    <w:left w:w="360" w:type="dxa"/>
                  </w:tcMar>
                </w:tcPr>
                <w:p w:rsidR="005C29B4" w:rsidRDefault="00BC30CD" w:rsidP="007D7823">
                  <w:pPr>
                    <w:jc w:val="both"/>
                  </w:pPr>
                  <w:r>
                    <w:lastRenderedPageBreak/>
                    <w:t>SECTION 1.</w:t>
                  </w:r>
                  <w:r>
                    <w:t xml:space="preserve"> </w:t>
                  </w:r>
                  <w:r>
                    <w:t xml:space="preserve">Section 28.025(b-2), Education Code, as amended by Chapters 211 (H.B. 5) </w:t>
                  </w:r>
                  <w:r w:rsidRPr="006A29B9">
                    <w:rPr>
                      <w:highlight w:val="lightGray"/>
                    </w:rPr>
                    <w:t>a</w:t>
                  </w:r>
                  <w:r w:rsidRPr="006A29B9">
                    <w:rPr>
                      <w:highlight w:val="lightGray"/>
                    </w:rPr>
                    <w:t>nd 214 (H.B. 2201)</w:t>
                  </w:r>
                  <w:r w:rsidRPr="004F70C8">
                    <w:t>,</w:t>
                  </w:r>
                  <w:r>
                    <w:t xml:space="preserve"> Acts of </w:t>
                  </w:r>
                  <w:r>
                    <w:lastRenderedPageBreak/>
                    <w:t>the 83rd Legislature, Regular Session, 2013, is reenacted and amended to read as follows:</w:t>
                  </w:r>
                </w:p>
                <w:p w:rsidR="005C29B4" w:rsidRPr="001927F1" w:rsidRDefault="00BC30CD" w:rsidP="007D7823">
                  <w:pPr>
                    <w:jc w:val="both"/>
                  </w:pPr>
                  <w:r>
                    <w:t>(b-2)</w:t>
                  </w:r>
                  <w:r>
                    <w:t xml:space="preserve"> </w:t>
                  </w:r>
                  <w:r>
                    <w:t>In adopting rules under Subsection (b-1), the State Board of Education shall</w:t>
                  </w:r>
                  <w:r w:rsidRPr="001927F1">
                    <w:rPr>
                      <w:u w:val="single"/>
                    </w:rPr>
                    <w:t>:</w:t>
                  </w:r>
                </w:p>
                <w:p w:rsidR="005C29B4" w:rsidRPr="00D50F2C" w:rsidRDefault="00BC30CD" w:rsidP="007D7823">
                  <w:pPr>
                    <w:jc w:val="both"/>
                    <w:rPr>
                      <w:highlight w:val="lightGray"/>
                    </w:rPr>
                  </w:pPr>
                  <w:r w:rsidRPr="001927F1">
                    <w:rPr>
                      <w:u w:val="single"/>
                    </w:rPr>
                    <w:t>(1)</w:t>
                  </w:r>
                  <w:r>
                    <w:t xml:space="preserve"> </w:t>
                  </w:r>
                  <w:r>
                    <w:t>provide for a student to comply with the curriculu</w:t>
                  </w:r>
                  <w:r>
                    <w:t>m requirements for an advanced English course under Subsection (b-1)(1) [</w:t>
                  </w:r>
                  <w:r>
                    <w:rPr>
                      <w:strike/>
                    </w:rPr>
                    <w:t>taken after successful completion of English I, English II, and English III</w:t>
                  </w:r>
                  <w:r>
                    <w:t>], for an advanced mathematics course under Subsection (b-1)(2) [</w:t>
                  </w:r>
                  <w:r>
                    <w:rPr>
                      <w:strike/>
                    </w:rPr>
                    <w:t>taken after the successful completion of Al</w:t>
                  </w:r>
                  <w:r>
                    <w:rPr>
                      <w:strike/>
                    </w:rPr>
                    <w:t>gebra I and geometry</w:t>
                  </w:r>
                  <w:r>
                    <w:t>], and for any advanced science course under Subsection (b-1)(3) by successfully completing a course in the appropriate content area that has been approved as an advanced course by board rule or that is offered as an advanced course for</w:t>
                  </w:r>
                  <w:r>
                    <w:t xml:space="preserve"> credit without board approval as provided by Section 28.002(g-1)</w:t>
                  </w:r>
                  <w:r w:rsidRPr="00D50F2C">
                    <w:rPr>
                      <w:highlight w:val="lightGray"/>
                      <w:u w:val="single"/>
                    </w:rPr>
                    <w:t>; and</w:t>
                  </w:r>
                </w:p>
                <w:p w:rsidR="005C29B4" w:rsidRDefault="00BC30CD" w:rsidP="007D7823">
                  <w:pPr>
                    <w:jc w:val="both"/>
                  </w:pPr>
                  <w:r w:rsidRPr="00D50F2C">
                    <w:rPr>
                      <w:highlight w:val="lightGray"/>
                      <w:u w:val="single"/>
                    </w:rPr>
                    <w:t>(2)</w:t>
                  </w:r>
                  <w:r>
                    <w:rPr>
                      <w:highlight w:val="lightGray"/>
                    </w:rPr>
                    <w:t xml:space="preserve"> </w:t>
                  </w:r>
                  <w:r w:rsidRPr="00D50F2C">
                    <w:rPr>
                      <w:highlight w:val="lightGray"/>
                    </w:rPr>
                    <w:t xml:space="preserve">allow </w:t>
                  </w:r>
                  <w:r w:rsidRPr="00D50F2C">
                    <w:rPr>
                      <w:highlight w:val="lightGray"/>
                      <w:u w:val="single"/>
                    </w:rPr>
                    <w:t>a student to comply with the curriculum requirements for</w:t>
                  </w:r>
                  <w:r w:rsidRPr="00D50F2C">
                    <w:rPr>
                      <w:highlight w:val="lightGray"/>
                    </w:rPr>
                    <w:t xml:space="preserve"> the third and fourth </w:t>
                  </w:r>
                  <w:r w:rsidRPr="00D50F2C">
                    <w:rPr>
                      <w:highlight w:val="lightGray"/>
                      <w:u w:val="single"/>
                    </w:rPr>
                    <w:t>mathematics</w:t>
                  </w:r>
                  <w:r w:rsidRPr="00D50F2C">
                    <w:rPr>
                      <w:highlight w:val="lightGray"/>
                    </w:rPr>
                    <w:t xml:space="preserve"> credits </w:t>
                  </w:r>
                  <w:r w:rsidRPr="00D50F2C">
                    <w:rPr>
                      <w:highlight w:val="lightGray"/>
                      <w:u w:val="single"/>
                    </w:rPr>
                    <w:t>under Subsection (b-1)(2)</w:t>
                  </w:r>
                  <w:r w:rsidRPr="00D50F2C">
                    <w:rPr>
                      <w:highlight w:val="lightGray"/>
                    </w:rPr>
                    <w:t xml:space="preserve"> or the third and fourth </w:t>
                  </w:r>
                  <w:r w:rsidRPr="00D50F2C">
                    <w:rPr>
                      <w:highlight w:val="lightGray"/>
                      <w:u w:val="single"/>
                    </w:rPr>
                    <w:t>science</w:t>
                  </w:r>
                  <w:r w:rsidRPr="00D50F2C">
                    <w:rPr>
                      <w:highlight w:val="lightGray"/>
                    </w:rPr>
                    <w:t xml:space="preserve"> credits </w:t>
                  </w:r>
                  <w:r w:rsidRPr="00D50F2C">
                    <w:rPr>
                      <w:highlight w:val="lightGray"/>
                      <w:u w:val="single"/>
                    </w:rPr>
                    <w:t>under Subse</w:t>
                  </w:r>
                  <w:r w:rsidRPr="00D50F2C">
                    <w:rPr>
                      <w:highlight w:val="lightGray"/>
                      <w:u w:val="single"/>
                    </w:rPr>
                    <w:t>ction (b-1)(3) by successfully completing an advanced</w:t>
                  </w:r>
                  <w:r w:rsidRPr="00D50F2C">
                    <w:rPr>
                      <w:highlight w:val="lightGray"/>
                    </w:rPr>
                    <w:t xml:space="preserve"> career and technical course designated by the State Board of Education as containing substantively similar and rigorous academic content.</w:t>
                  </w:r>
                </w:p>
              </w:tc>
            </w:tr>
            <w:tr w:rsidR="001C08CD" w:rsidTr="009775E1">
              <w:tc>
                <w:tcPr>
                  <w:tcW w:w="4680" w:type="dxa"/>
                  <w:tcMar>
                    <w:right w:w="360" w:type="dxa"/>
                  </w:tcMar>
                </w:tcPr>
                <w:p w:rsidR="005C29B4" w:rsidRDefault="00BC30CD" w:rsidP="007D7823">
                  <w:pPr>
                    <w:jc w:val="both"/>
                  </w:pPr>
                  <w:r>
                    <w:lastRenderedPageBreak/>
                    <w:t>SECTION 2.</w:t>
                  </w:r>
                  <w:r>
                    <w:t xml:space="preserve"> </w:t>
                  </w:r>
                  <w:r>
                    <w:t>This Act applies beginning with the 2017-2018 school</w:t>
                  </w:r>
                  <w:r>
                    <w:t xml:space="preserve"> year.</w:t>
                  </w:r>
                </w:p>
              </w:tc>
              <w:tc>
                <w:tcPr>
                  <w:tcW w:w="4677" w:type="dxa"/>
                  <w:tcMar>
                    <w:left w:w="360" w:type="dxa"/>
                  </w:tcMar>
                </w:tcPr>
                <w:p w:rsidR="005C29B4" w:rsidRDefault="00BC30CD" w:rsidP="007D7823">
                  <w:pPr>
                    <w:jc w:val="both"/>
                  </w:pPr>
                  <w:r>
                    <w:t>SECTION 2. Same as engrossed version.</w:t>
                  </w:r>
                </w:p>
                <w:p w:rsidR="005C29B4" w:rsidRDefault="00BC30CD" w:rsidP="007D7823">
                  <w:pPr>
                    <w:jc w:val="both"/>
                  </w:pPr>
                </w:p>
              </w:tc>
            </w:tr>
            <w:tr w:rsidR="001C08CD" w:rsidTr="009775E1">
              <w:tc>
                <w:tcPr>
                  <w:tcW w:w="4680" w:type="dxa"/>
                  <w:tcMar>
                    <w:right w:w="360" w:type="dxa"/>
                  </w:tcMar>
                </w:tcPr>
                <w:p w:rsidR="005C29B4" w:rsidRDefault="00BC30CD" w:rsidP="007D7823">
                  <w:pPr>
                    <w:jc w:val="both"/>
                  </w:pPr>
                  <w:r>
                    <w:t>SECTION 3.</w:t>
                  </w:r>
                  <w:r>
                    <w:t xml:space="preserve"> </w:t>
                  </w:r>
                  <w:r>
                    <w:t>This Act takes effect immediately if it receives a vote of two-thirds of all the members elected to each house, as provided by Section 39, Article III, Texas Constitution.</w:t>
                  </w:r>
                  <w:r>
                    <w:t xml:space="preserve"> </w:t>
                  </w:r>
                  <w:r>
                    <w:t>If this Act does not recei</w:t>
                  </w:r>
                  <w:r>
                    <w:t>ve the vote necessary for immediate effect, this Act takes effect September 1, 2017.</w:t>
                  </w:r>
                </w:p>
              </w:tc>
              <w:tc>
                <w:tcPr>
                  <w:tcW w:w="4677" w:type="dxa"/>
                  <w:tcMar>
                    <w:left w:w="360" w:type="dxa"/>
                  </w:tcMar>
                </w:tcPr>
                <w:p w:rsidR="005C29B4" w:rsidRDefault="00BC30CD" w:rsidP="007D7823">
                  <w:pPr>
                    <w:jc w:val="both"/>
                  </w:pPr>
                  <w:r>
                    <w:t>SECTION 3. Same as engrossed version.</w:t>
                  </w:r>
                </w:p>
                <w:p w:rsidR="005C29B4" w:rsidRDefault="00BC30CD" w:rsidP="007D7823">
                  <w:pPr>
                    <w:jc w:val="both"/>
                  </w:pPr>
                </w:p>
                <w:p w:rsidR="005C29B4" w:rsidRDefault="00BC30CD" w:rsidP="007D7823">
                  <w:pPr>
                    <w:jc w:val="both"/>
                  </w:pPr>
                </w:p>
              </w:tc>
            </w:tr>
          </w:tbl>
          <w:p w:rsidR="005C29B4" w:rsidRDefault="00BC30CD" w:rsidP="007D7823"/>
          <w:p w:rsidR="005C29B4" w:rsidRPr="009C1E9A" w:rsidRDefault="00BC30CD" w:rsidP="007D7823">
            <w:pPr>
              <w:rPr>
                <w:b/>
                <w:u w:val="single"/>
              </w:rPr>
            </w:pPr>
          </w:p>
        </w:tc>
      </w:tr>
    </w:tbl>
    <w:p w:rsidR="008423E4" w:rsidRPr="00BE0E75" w:rsidRDefault="00BC30C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C30C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30CD">
      <w:r>
        <w:separator/>
      </w:r>
    </w:p>
  </w:endnote>
  <w:endnote w:type="continuationSeparator" w:id="0">
    <w:p w:rsidR="00000000" w:rsidRDefault="00BC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C08CD" w:rsidTr="009C1E9A">
      <w:trPr>
        <w:cantSplit/>
      </w:trPr>
      <w:tc>
        <w:tcPr>
          <w:tcW w:w="0" w:type="pct"/>
        </w:tcPr>
        <w:p w:rsidR="00137D90" w:rsidRDefault="00BC30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C30C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C30C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C30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C30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08CD" w:rsidTr="009C1E9A">
      <w:trPr>
        <w:cantSplit/>
      </w:trPr>
      <w:tc>
        <w:tcPr>
          <w:tcW w:w="0" w:type="pct"/>
        </w:tcPr>
        <w:p w:rsidR="00EC379B" w:rsidRDefault="00BC30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C30C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28592</w:t>
          </w:r>
        </w:p>
      </w:tc>
      <w:tc>
        <w:tcPr>
          <w:tcW w:w="2453" w:type="pct"/>
        </w:tcPr>
        <w:p w:rsidR="00EC379B" w:rsidRDefault="00BC30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17.125.464</w:t>
          </w:r>
          <w:r>
            <w:fldChar w:fldCharType="end"/>
          </w:r>
        </w:p>
      </w:tc>
    </w:tr>
    <w:tr w:rsidR="001C08CD" w:rsidTr="009C1E9A">
      <w:trPr>
        <w:cantSplit/>
      </w:trPr>
      <w:tc>
        <w:tcPr>
          <w:tcW w:w="0" w:type="pct"/>
        </w:tcPr>
        <w:p w:rsidR="00EC379B" w:rsidRDefault="00BC30C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C30C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26646</w:t>
          </w:r>
        </w:p>
      </w:tc>
      <w:tc>
        <w:tcPr>
          <w:tcW w:w="2453" w:type="pct"/>
        </w:tcPr>
        <w:p w:rsidR="00EC379B" w:rsidRDefault="00BC30CD" w:rsidP="006D504F">
          <w:pPr>
            <w:pStyle w:val="Footer"/>
            <w:rPr>
              <w:rStyle w:val="PageNumber"/>
            </w:rPr>
          </w:pPr>
        </w:p>
        <w:p w:rsidR="00EC379B" w:rsidRDefault="00BC30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08C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C30C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C30C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C30C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30CD">
      <w:r>
        <w:separator/>
      </w:r>
    </w:p>
  </w:footnote>
  <w:footnote w:type="continuationSeparator" w:id="0">
    <w:p w:rsidR="00000000" w:rsidRDefault="00BC3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CD"/>
    <w:rsid w:val="001C08CD"/>
    <w:rsid w:val="00BC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94F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FEA"/>
  </w:style>
  <w:style w:type="paragraph" w:styleId="CommentSubject">
    <w:name w:val="annotation subject"/>
    <w:basedOn w:val="CommentText"/>
    <w:next w:val="CommentText"/>
    <w:link w:val="CommentSubjectChar"/>
    <w:rsid w:val="00D94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FEA"/>
    <w:rPr>
      <w:b/>
      <w:bCs/>
    </w:rPr>
  </w:style>
  <w:style w:type="character" w:styleId="Hyperlink">
    <w:name w:val="Hyperlink"/>
    <w:basedOn w:val="DefaultParagraphFont"/>
    <w:rsid w:val="003853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6450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645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94F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FEA"/>
  </w:style>
  <w:style w:type="paragraph" w:styleId="CommentSubject">
    <w:name w:val="annotation subject"/>
    <w:basedOn w:val="CommentText"/>
    <w:next w:val="CommentText"/>
    <w:link w:val="CommentSubjectChar"/>
    <w:rsid w:val="00D94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FEA"/>
    <w:rPr>
      <w:b/>
      <w:bCs/>
    </w:rPr>
  </w:style>
  <w:style w:type="character" w:styleId="Hyperlink">
    <w:name w:val="Hyperlink"/>
    <w:basedOn w:val="DefaultParagraphFont"/>
    <w:rsid w:val="003853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6450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645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3933</Characters>
  <Application>Microsoft Office Word</Application>
  <DocSecurity>4</DocSecurity>
  <Lines>127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SB00826 (Committee Report (Substituted))</vt:lpstr>
    </vt:vector>
  </TitlesOfParts>
  <Company>State of Texas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28592</dc:subject>
  <dc:creator>State of Texas</dc:creator>
  <dc:description>SB 826 by Taylor, Larry-(H)Public Education (Substitute Document Number: 85R 26646)</dc:description>
  <cp:lastModifiedBy>Molly Hoffman-Bricker</cp:lastModifiedBy>
  <cp:revision>2</cp:revision>
  <cp:lastPrinted>2017-05-05T18:33:00Z</cp:lastPrinted>
  <dcterms:created xsi:type="dcterms:W3CDTF">2017-05-09T19:20:00Z</dcterms:created>
  <dcterms:modified xsi:type="dcterms:W3CDTF">2017-05-09T19:20:00Z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17.125.464</vt:lpwstr>
  </property>
</Properties>
</file>