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54E0" w:rsidTr="00345119">
        <w:tc>
          <w:tcPr>
            <w:tcW w:w="9576" w:type="dxa"/>
            <w:noWrap/>
          </w:tcPr>
          <w:p w:rsidR="008423E4" w:rsidRPr="0022177D" w:rsidRDefault="005E6A99" w:rsidP="00345119">
            <w:pPr>
              <w:pStyle w:val="Heading1"/>
            </w:pPr>
            <w:bookmarkStart w:id="0" w:name="_GoBack"/>
            <w:bookmarkEnd w:id="0"/>
            <w:r w:rsidRPr="00631897">
              <w:t>BILL ANALYSIS</w:t>
            </w:r>
          </w:p>
        </w:tc>
      </w:tr>
    </w:tbl>
    <w:p w:rsidR="008423E4" w:rsidRPr="0022177D" w:rsidRDefault="005E6A99" w:rsidP="008423E4">
      <w:pPr>
        <w:jc w:val="center"/>
      </w:pPr>
    </w:p>
    <w:p w:rsidR="008423E4" w:rsidRPr="00B31F0E" w:rsidRDefault="005E6A99" w:rsidP="008423E4"/>
    <w:p w:rsidR="008423E4" w:rsidRPr="00742794" w:rsidRDefault="005E6A99" w:rsidP="008423E4">
      <w:pPr>
        <w:tabs>
          <w:tab w:val="right" w:pos="9360"/>
        </w:tabs>
      </w:pPr>
    </w:p>
    <w:tbl>
      <w:tblPr>
        <w:tblW w:w="0" w:type="auto"/>
        <w:tblLayout w:type="fixed"/>
        <w:tblLook w:val="01E0" w:firstRow="1" w:lastRow="1" w:firstColumn="1" w:lastColumn="1" w:noHBand="0" w:noVBand="0"/>
      </w:tblPr>
      <w:tblGrid>
        <w:gridCol w:w="9576"/>
      </w:tblGrid>
      <w:tr w:rsidR="009754E0" w:rsidTr="00345119">
        <w:tc>
          <w:tcPr>
            <w:tcW w:w="9576" w:type="dxa"/>
          </w:tcPr>
          <w:p w:rsidR="008423E4" w:rsidRPr="00861995" w:rsidRDefault="005E6A99" w:rsidP="00345119">
            <w:pPr>
              <w:jc w:val="right"/>
            </w:pPr>
            <w:r>
              <w:t>S.B. 849</w:t>
            </w:r>
          </w:p>
        </w:tc>
      </w:tr>
      <w:tr w:rsidR="009754E0" w:rsidTr="00345119">
        <w:tc>
          <w:tcPr>
            <w:tcW w:w="9576" w:type="dxa"/>
          </w:tcPr>
          <w:p w:rsidR="008423E4" w:rsidRPr="00861995" w:rsidRDefault="005E6A99" w:rsidP="00C379E7">
            <w:pPr>
              <w:jc w:val="right"/>
            </w:pPr>
            <w:r>
              <w:t xml:space="preserve">By: </w:t>
            </w:r>
            <w:r>
              <w:t>Huffines</w:t>
            </w:r>
          </w:p>
        </w:tc>
      </w:tr>
      <w:tr w:rsidR="009754E0" w:rsidTr="00345119">
        <w:tc>
          <w:tcPr>
            <w:tcW w:w="9576" w:type="dxa"/>
          </w:tcPr>
          <w:p w:rsidR="008423E4" w:rsidRPr="00861995" w:rsidRDefault="005E6A99" w:rsidP="00345119">
            <w:pPr>
              <w:jc w:val="right"/>
            </w:pPr>
            <w:r>
              <w:t>Licensing &amp; Administrative Procedures</w:t>
            </w:r>
          </w:p>
        </w:tc>
      </w:tr>
      <w:tr w:rsidR="009754E0" w:rsidTr="00345119">
        <w:tc>
          <w:tcPr>
            <w:tcW w:w="9576" w:type="dxa"/>
          </w:tcPr>
          <w:p w:rsidR="008423E4" w:rsidRDefault="005E6A99" w:rsidP="00345119">
            <w:pPr>
              <w:jc w:val="right"/>
            </w:pPr>
            <w:r>
              <w:t>Committee Report (Unamended)</w:t>
            </w:r>
          </w:p>
        </w:tc>
      </w:tr>
    </w:tbl>
    <w:p w:rsidR="008423E4" w:rsidRDefault="005E6A99" w:rsidP="008423E4">
      <w:pPr>
        <w:tabs>
          <w:tab w:val="right" w:pos="9360"/>
        </w:tabs>
      </w:pPr>
    </w:p>
    <w:p w:rsidR="008423E4" w:rsidRDefault="005E6A99" w:rsidP="008423E4"/>
    <w:p w:rsidR="008423E4" w:rsidRDefault="005E6A99" w:rsidP="008423E4"/>
    <w:tbl>
      <w:tblPr>
        <w:tblW w:w="0" w:type="auto"/>
        <w:tblCellMar>
          <w:left w:w="115" w:type="dxa"/>
          <w:right w:w="115" w:type="dxa"/>
        </w:tblCellMar>
        <w:tblLook w:val="01E0" w:firstRow="1" w:lastRow="1" w:firstColumn="1" w:lastColumn="1" w:noHBand="0" w:noVBand="0"/>
      </w:tblPr>
      <w:tblGrid>
        <w:gridCol w:w="9582"/>
      </w:tblGrid>
      <w:tr w:rsidR="009754E0" w:rsidTr="00261A3D">
        <w:tc>
          <w:tcPr>
            <w:tcW w:w="9582" w:type="dxa"/>
          </w:tcPr>
          <w:p w:rsidR="008423E4" w:rsidRPr="00A8133F" w:rsidRDefault="005E6A99" w:rsidP="007B0AE3">
            <w:pPr>
              <w:rPr>
                <w:b/>
              </w:rPr>
            </w:pPr>
            <w:r w:rsidRPr="009C1E9A">
              <w:rPr>
                <w:b/>
                <w:u w:val="single"/>
              </w:rPr>
              <w:t>BACKGROUND AND PURPOSE</w:t>
            </w:r>
            <w:r>
              <w:rPr>
                <w:b/>
              </w:rPr>
              <w:t xml:space="preserve"> </w:t>
            </w:r>
          </w:p>
          <w:p w:rsidR="008423E4" w:rsidRDefault="005E6A99" w:rsidP="007B0AE3"/>
          <w:p w:rsidR="008423E4" w:rsidRDefault="005E6A99" w:rsidP="007B0AE3">
            <w:pPr>
              <w:pStyle w:val="Header"/>
              <w:tabs>
                <w:tab w:val="clear" w:pos="4320"/>
                <w:tab w:val="clear" w:pos="8640"/>
              </w:tabs>
              <w:jc w:val="both"/>
            </w:pPr>
            <w:r>
              <w:t>Interested parties note that licensed p</w:t>
            </w:r>
            <w:r>
              <w:t>hysicians travel with athletic teams across state lines on a regular basis</w:t>
            </w:r>
            <w:r>
              <w:t xml:space="preserve"> but that </w:t>
            </w:r>
            <w:r>
              <w:t xml:space="preserve">it is possible that </w:t>
            </w:r>
            <w:r>
              <w:t>those physicians</w:t>
            </w:r>
            <w:r>
              <w:t xml:space="preserve"> </w:t>
            </w:r>
            <w:r>
              <w:t>are not</w:t>
            </w:r>
            <w:r>
              <w:t xml:space="preserve"> licensed in Texas. </w:t>
            </w:r>
            <w:r>
              <w:t xml:space="preserve">The parties have expressed a need to provide out-of-state team physicians a pathway for compliance with Texas licensure laws. </w:t>
            </w:r>
            <w:r>
              <w:t>S.B. 849</w:t>
            </w:r>
            <w:r>
              <w:t xml:space="preserve"> seeks to provide for that compliance by</w:t>
            </w:r>
            <w:r>
              <w:t xml:space="preserve"> </w:t>
            </w:r>
            <w:r>
              <w:t>exempti</w:t>
            </w:r>
            <w:r>
              <w:t xml:space="preserve">ng </w:t>
            </w:r>
            <w:r>
              <w:t>such physicians</w:t>
            </w:r>
            <w:r>
              <w:t xml:space="preserve"> who are actively licensed in another state from Texas licensure under certain conditions. </w:t>
            </w:r>
          </w:p>
          <w:p w:rsidR="00132B29" w:rsidRPr="00E26B13" w:rsidRDefault="005E6A99" w:rsidP="007B0AE3">
            <w:pPr>
              <w:pStyle w:val="Header"/>
              <w:tabs>
                <w:tab w:val="clear" w:pos="4320"/>
                <w:tab w:val="clear" w:pos="8640"/>
              </w:tabs>
              <w:jc w:val="both"/>
              <w:rPr>
                <w:b/>
              </w:rPr>
            </w:pPr>
          </w:p>
        </w:tc>
      </w:tr>
      <w:tr w:rsidR="009754E0" w:rsidTr="00261A3D">
        <w:tc>
          <w:tcPr>
            <w:tcW w:w="9582" w:type="dxa"/>
          </w:tcPr>
          <w:p w:rsidR="0017725B" w:rsidRDefault="005E6A99" w:rsidP="007B0AE3">
            <w:pPr>
              <w:rPr>
                <w:b/>
                <w:u w:val="single"/>
              </w:rPr>
            </w:pPr>
            <w:r>
              <w:rPr>
                <w:b/>
                <w:u w:val="single"/>
              </w:rPr>
              <w:t>CRIMINAL JUSTICE IMPACT</w:t>
            </w:r>
          </w:p>
          <w:p w:rsidR="0017725B" w:rsidRDefault="005E6A99" w:rsidP="007B0AE3">
            <w:pPr>
              <w:rPr>
                <w:b/>
                <w:u w:val="single"/>
              </w:rPr>
            </w:pPr>
          </w:p>
          <w:p w:rsidR="00317556" w:rsidRPr="00317556" w:rsidRDefault="005E6A99" w:rsidP="007B0AE3">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5E6A99" w:rsidP="007B0AE3">
            <w:pPr>
              <w:rPr>
                <w:b/>
                <w:u w:val="single"/>
              </w:rPr>
            </w:pPr>
          </w:p>
        </w:tc>
      </w:tr>
      <w:tr w:rsidR="009754E0" w:rsidTr="00261A3D">
        <w:tc>
          <w:tcPr>
            <w:tcW w:w="9582" w:type="dxa"/>
          </w:tcPr>
          <w:p w:rsidR="008423E4" w:rsidRPr="00A8133F" w:rsidRDefault="005E6A99" w:rsidP="007B0AE3">
            <w:pPr>
              <w:rPr>
                <w:b/>
              </w:rPr>
            </w:pPr>
            <w:r w:rsidRPr="009C1E9A">
              <w:rPr>
                <w:b/>
                <w:u w:val="single"/>
              </w:rPr>
              <w:t>RULEMAKING AUTHORITY</w:t>
            </w:r>
            <w:r>
              <w:rPr>
                <w:b/>
              </w:rPr>
              <w:t xml:space="preserve"> </w:t>
            </w:r>
          </w:p>
          <w:p w:rsidR="008423E4" w:rsidRDefault="005E6A99" w:rsidP="007B0AE3"/>
          <w:p w:rsidR="00317556" w:rsidRDefault="005E6A99" w:rsidP="007B0AE3">
            <w:pPr>
              <w:pStyle w:val="Header"/>
              <w:tabs>
                <w:tab w:val="clear" w:pos="4320"/>
                <w:tab w:val="clear" w:pos="8640"/>
              </w:tabs>
              <w:jc w:val="both"/>
            </w:pPr>
            <w:r>
              <w:t>It is the committee's opinion that this bill does not expressly grant any addi</w:t>
            </w:r>
            <w:r>
              <w:t>tional rulemaking authority to a state officer, department, agency, or institution.</w:t>
            </w:r>
          </w:p>
          <w:p w:rsidR="008423E4" w:rsidRPr="00E21FDC" w:rsidRDefault="005E6A99" w:rsidP="007B0AE3">
            <w:pPr>
              <w:rPr>
                <w:b/>
              </w:rPr>
            </w:pPr>
          </w:p>
        </w:tc>
      </w:tr>
      <w:tr w:rsidR="009754E0" w:rsidTr="00261A3D">
        <w:tc>
          <w:tcPr>
            <w:tcW w:w="9582" w:type="dxa"/>
          </w:tcPr>
          <w:p w:rsidR="008423E4" w:rsidRPr="00A8133F" w:rsidRDefault="005E6A99" w:rsidP="007B0AE3">
            <w:pPr>
              <w:rPr>
                <w:b/>
              </w:rPr>
            </w:pPr>
            <w:r w:rsidRPr="009C1E9A">
              <w:rPr>
                <w:b/>
                <w:u w:val="single"/>
              </w:rPr>
              <w:t>ANALYSIS</w:t>
            </w:r>
            <w:r>
              <w:rPr>
                <w:b/>
              </w:rPr>
              <w:t xml:space="preserve"> </w:t>
            </w:r>
          </w:p>
          <w:p w:rsidR="008423E4" w:rsidRDefault="005E6A99" w:rsidP="007B0AE3"/>
          <w:p w:rsidR="008423E4" w:rsidRDefault="005E6A99" w:rsidP="007B0AE3">
            <w:pPr>
              <w:pStyle w:val="Header"/>
              <w:jc w:val="both"/>
            </w:pPr>
            <w:r>
              <w:t>S.B. 849</w:t>
            </w:r>
            <w:r>
              <w:t xml:space="preserve"> amends the Occupations Code to exempt a person from </w:t>
            </w:r>
            <w:r>
              <w:t xml:space="preserve">the </w:t>
            </w:r>
            <w:r>
              <w:t xml:space="preserve">licensing requirements of </w:t>
            </w:r>
            <w:r>
              <w:t>the Medical Practice Act</w:t>
            </w:r>
            <w:r>
              <w:t xml:space="preserve"> </w:t>
            </w:r>
            <w:r>
              <w:t xml:space="preserve">and </w:t>
            </w:r>
            <w:r>
              <w:t>to authorize a person to</w:t>
            </w:r>
            <w:r>
              <w:t xml:space="preserve"> engage in the practice of medicine in Texas if the person is employed or designated as a team physician by a sports team visiting Texas for a specific sporting event, is licensed to practice medicine in the team's home state, </w:t>
            </w:r>
            <w:r>
              <w:t xml:space="preserve">and </w:t>
            </w:r>
            <w:r>
              <w:t>limits the person's pract</w:t>
            </w:r>
            <w:r>
              <w:t>ice of medicine in Texas to treating, during the period beginning on the date the team arrives in Texas for the event and ending on the 10th day after the date of the event</w:t>
            </w:r>
            <w:r>
              <w:t>,</w:t>
            </w:r>
            <w:r>
              <w:t xml:space="preserve"> the </w:t>
            </w:r>
            <w:r>
              <w:t xml:space="preserve">team's </w:t>
            </w:r>
            <w:r>
              <w:t xml:space="preserve">members, coaches, and staff and </w:t>
            </w:r>
            <w:r>
              <w:t>such a person's</w:t>
            </w:r>
            <w:r>
              <w:t xml:space="preserve"> family member </w:t>
            </w:r>
            <w:r>
              <w:t>who</w:t>
            </w:r>
            <w:r>
              <w:t xml:space="preserve"> is vi</w:t>
            </w:r>
            <w:r>
              <w:t>siting Texas for the event.</w:t>
            </w:r>
            <w:r>
              <w:t xml:space="preserve"> </w:t>
            </w:r>
            <w:r>
              <w:t xml:space="preserve">The bill </w:t>
            </w:r>
            <w:r>
              <w:t>exempts a sports team physician engaged in the practice of medicine as authorized by the bill from</w:t>
            </w:r>
            <w:r>
              <w:t xml:space="preserve"> </w:t>
            </w:r>
            <w:r>
              <w:t xml:space="preserve">statutory provisions </w:t>
            </w:r>
            <w:r>
              <w:t>relating</w:t>
            </w:r>
            <w:r>
              <w:t xml:space="preserve"> to athletic trainers</w:t>
            </w:r>
            <w:r>
              <w:t>.</w:t>
            </w:r>
          </w:p>
          <w:p w:rsidR="00FF7A6F" w:rsidRPr="00DF1FC8" w:rsidRDefault="005E6A99" w:rsidP="007B0AE3">
            <w:pPr>
              <w:pStyle w:val="Header"/>
              <w:jc w:val="both"/>
            </w:pPr>
          </w:p>
        </w:tc>
      </w:tr>
      <w:tr w:rsidR="009754E0" w:rsidTr="00261A3D">
        <w:tc>
          <w:tcPr>
            <w:tcW w:w="9582" w:type="dxa"/>
          </w:tcPr>
          <w:p w:rsidR="008423E4" w:rsidRPr="00A8133F" w:rsidRDefault="005E6A99" w:rsidP="007B0AE3">
            <w:pPr>
              <w:rPr>
                <w:b/>
              </w:rPr>
            </w:pPr>
            <w:r w:rsidRPr="009C1E9A">
              <w:rPr>
                <w:b/>
                <w:u w:val="single"/>
              </w:rPr>
              <w:t>EFFECTIVE DATE</w:t>
            </w:r>
            <w:r>
              <w:rPr>
                <w:b/>
              </w:rPr>
              <w:t xml:space="preserve"> </w:t>
            </w:r>
          </w:p>
          <w:p w:rsidR="008423E4" w:rsidRDefault="005E6A99" w:rsidP="007B0AE3"/>
          <w:p w:rsidR="008423E4" w:rsidRDefault="005E6A99" w:rsidP="007B0AE3">
            <w:pPr>
              <w:pStyle w:val="Header"/>
              <w:tabs>
                <w:tab w:val="clear" w:pos="4320"/>
                <w:tab w:val="clear" w:pos="8640"/>
              </w:tabs>
              <w:jc w:val="both"/>
            </w:pPr>
            <w:r>
              <w:t>September 1, 2017.</w:t>
            </w:r>
          </w:p>
          <w:p w:rsidR="00B27C9F" w:rsidRPr="00450F25" w:rsidRDefault="005E6A99" w:rsidP="007B0AE3">
            <w:pPr>
              <w:pStyle w:val="Header"/>
              <w:tabs>
                <w:tab w:val="clear" w:pos="4320"/>
                <w:tab w:val="clear" w:pos="8640"/>
              </w:tabs>
              <w:jc w:val="both"/>
            </w:pPr>
          </w:p>
        </w:tc>
      </w:tr>
      <w:tr w:rsidR="009754E0" w:rsidTr="00261A3D">
        <w:tc>
          <w:tcPr>
            <w:tcW w:w="9582" w:type="dxa"/>
          </w:tcPr>
          <w:p w:rsidR="00CF74DC" w:rsidRPr="00B27C9F" w:rsidRDefault="005E6A99" w:rsidP="007B0AE3">
            <w:pPr>
              <w:jc w:val="both"/>
            </w:pPr>
          </w:p>
        </w:tc>
      </w:tr>
      <w:tr w:rsidR="009754E0" w:rsidTr="00261A3D">
        <w:tc>
          <w:tcPr>
            <w:tcW w:w="9582" w:type="dxa"/>
          </w:tcPr>
          <w:p w:rsidR="00261A3D" w:rsidRPr="009C1E9A" w:rsidRDefault="005E6A99" w:rsidP="007B0AE3">
            <w:pPr>
              <w:rPr>
                <w:b/>
                <w:u w:val="single"/>
              </w:rPr>
            </w:pPr>
          </w:p>
        </w:tc>
      </w:tr>
    </w:tbl>
    <w:p w:rsidR="004108C3" w:rsidRPr="008423E4" w:rsidRDefault="005E6A9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6A99">
      <w:r>
        <w:separator/>
      </w:r>
    </w:p>
  </w:endnote>
  <w:endnote w:type="continuationSeparator" w:id="0">
    <w:p w:rsidR="00000000" w:rsidRDefault="005E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2" w:rsidRDefault="005E6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54E0" w:rsidTr="009C1E9A">
      <w:trPr>
        <w:cantSplit/>
      </w:trPr>
      <w:tc>
        <w:tcPr>
          <w:tcW w:w="0" w:type="pct"/>
        </w:tcPr>
        <w:p w:rsidR="00137D90" w:rsidRDefault="005E6A99" w:rsidP="009C1E9A">
          <w:pPr>
            <w:pStyle w:val="Footer"/>
            <w:tabs>
              <w:tab w:val="clear" w:pos="8640"/>
              <w:tab w:val="right" w:pos="9360"/>
            </w:tabs>
          </w:pPr>
        </w:p>
      </w:tc>
      <w:tc>
        <w:tcPr>
          <w:tcW w:w="2395" w:type="pct"/>
        </w:tcPr>
        <w:p w:rsidR="00137D90" w:rsidRDefault="005E6A99" w:rsidP="009C1E9A">
          <w:pPr>
            <w:pStyle w:val="Footer"/>
            <w:tabs>
              <w:tab w:val="clear" w:pos="8640"/>
              <w:tab w:val="right" w:pos="9360"/>
            </w:tabs>
          </w:pPr>
        </w:p>
        <w:p w:rsidR="001A4310" w:rsidRDefault="005E6A99" w:rsidP="009C1E9A">
          <w:pPr>
            <w:pStyle w:val="Footer"/>
            <w:tabs>
              <w:tab w:val="clear" w:pos="8640"/>
              <w:tab w:val="right" w:pos="9360"/>
            </w:tabs>
          </w:pPr>
        </w:p>
        <w:p w:rsidR="00137D90" w:rsidRDefault="005E6A99" w:rsidP="009C1E9A">
          <w:pPr>
            <w:pStyle w:val="Footer"/>
            <w:tabs>
              <w:tab w:val="clear" w:pos="8640"/>
              <w:tab w:val="right" w:pos="9360"/>
            </w:tabs>
          </w:pPr>
        </w:p>
      </w:tc>
      <w:tc>
        <w:tcPr>
          <w:tcW w:w="2453" w:type="pct"/>
        </w:tcPr>
        <w:p w:rsidR="00137D90" w:rsidRDefault="005E6A99" w:rsidP="009C1E9A">
          <w:pPr>
            <w:pStyle w:val="Footer"/>
            <w:tabs>
              <w:tab w:val="clear" w:pos="8640"/>
              <w:tab w:val="right" w:pos="9360"/>
            </w:tabs>
            <w:jc w:val="right"/>
          </w:pPr>
        </w:p>
      </w:tc>
    </w:tr>
    <w:tr w:rsidR="009754E0" w:rsidTr="009C1E9A">
      <w:trPr>
        <w:cantSplit/>
      </w:trPr>
      <w:tc>
        <w:tcPr>
          <w:tcW w:w="0" w:type="pct"/>
        </w:tcPr>
        <w:p w:rsidR="00EC379B" w:rsidRDefault="005E6A99" w:rsidP="009C1E9A">
          <w:pPr>
            <w:pStyle w:val="Footer"/>
            <w:tabs>
              <w:tab w:val="clear" w:pos="8640"/>
              <w:tab w:val="right" w:pos="9360"/>
            </w:tabs>
          </w:pPr>
        </w:p>
      </w:tc>
      <w:tc>
        <w:tcPr>
          <w:tcW w:w="2395" w:type="pct"/>
        </w:tcPr>
        <w:p w:rsidR="00EC379B" w:rsidRPr="009C1E9A" w:rsidRDefault="005E6A99" w:rsidP="009C1E9A">
          <w:pPr>
            <w:pStyle w:val="Footer"/>
            <w:tabs>
              <w:tab w:val="clear" w:pos="8640"/>
              <w:tab w:val="right" w:pos="9360"/>
            </w:tabs>
            <w:rPr>
              <w:rFonts w:ascii="Shruti" w:hAnsi="Shruti"/>
              <w:sz w:val="22"/>
            </w:rPr>
          </w:pPr>
          <w:r>
            <w:rPr>
              <w:rFonts w:ascii="Shruti" w:hAnsi="Shruti"/>
              <w:sz w:val="22"/>
            </w:rPr>
            <w:t>85R 28139</w:t>
          </w:r>
        </w:p>
      </w:tc>
      <w:tc>
        <w:tcPr>
          <w:tcW w:w="2453" w:type="pct"/>
        </w:tcPr>
        <w:p w:rsidR="00EC379B" w:rsidRDefault="005E6A99" w:rsidP="009C1E9A">
          <w:pPr>
            <w:pStyle w:val="Footer"/>
            <w:tabs>
              <w:tab w:val="clear" w:pos="8640"/>
              <w:tab w:val="right" w:pos="9360"/>
            </w:tabs>
            <w:jc w:val="right"/>
          </w:pPr>
          <w:r>
            <w:fldChar w:fldCharType="begin"/>
          </w:r>
          <w:r>
            <w:instrText xml:space="preserve"> DOCPROPERTY  OTID  \* MERGEFORMAT </w:instrText>
          </w:r>
          <w:r>
            <w:fldChar w:fldCharType="separate"/>
          </w:r>
          <w:r>
            <w:t>17.123.252</w:t>
          </w:r>
          <w:r>
            <w:fldChar w:fldCharType="end"/>
          </w:r>
        </w:p>
      </w:tc>
    </w:tr>
    <w:tr w:rsidR="009754E0" w:rsidTr="009C1E9A">
      <w:trPr>
        <w:cantSplit/>
      </w:trPr>
      <w:tc>
        <w:tcPr>
          <w:tcW w:w="0" w:type="pct"/>
        </w:tcPr>
        <w:p w:rsidR="00EC379B" w:rsidRDefault="005E6A99" w:rsidP="009C1E9A">
          <w:pPr>
            <w:pStyle w:val="Footer"/>
            <w:tabs>
              <w:tab w:val="clear" w:pos="4320"/>
              <w:tab w:val="clear" w:pos="8640"/>
              <w:tab w:val="left" w:pos="2865"/>
            </w:tabs>
          </w:pPr>
        </w:p>
      </w:tc>
      <w:tc>
        <w:tcPr>
          <w:tcW w:w="2395" w:type="pct"/>
        </w:tcPr>
        <w:p w:rsidR="00EC379B" w:rsidRPr="009C1E9A" w:rsidRDefault="005E6A99" w:rsidP="009C1E9A">
          <w:pPr>
            <w:pStyle w:val="Footer"/>
            <w:tabs>
              <w:tab w:val="clear" w:pos="4320"/>
              <w:tab w:val="clear" w:pos="8640"/>
              <w:tab w:val="left" w:pos="2865"/>
            </w:tabs>
            <w:rPr>
              <w:rFonts w:ascii="Shruti" w:hAnsi="Shruti"/>
              <w:sz w:val="22"/>
            </w:rPr>
          </w:pPr>
        </w:p>
      </w:tc>
      <w:tc>
        <w:tcPr>
          <w:tcW w:w="2453" w:type="pct"/>
        </w:tcPr>
        <w:p w:rsidR="00EC379B" w:rsidRDefault="005E6A99" w:rsidP="006D504F">
          <w:pPr>
            <w:pStyle w:val="Footer"/>
            <w:rPr>
              <w:rStyle w:val="PageNumber"/>
            </w:rPr>
          </w:pPr>
        </w:p>
        <w:p w:rsidR="00EC379B" w:rsidRDefault="005E6A99" w:rsidP="009C1E9A">
          <w:pPr>
            <w:pStyle w:val="Footer"/>
            <w:tabs>
              <w:tab w:val="clear" w:pos="8640"/>
              <w:tab w:val="right" w:pos="9360"/>
            </w:tabs>
            <w:jc w:val="right"/>
          </w:pPr>
        </w:p>
      </w:tc>
    </w:tr>
    <w:tr w:rsidR="009754E0" w:rsidTr="009C1E9A">
      <w:trPr>
        <w:cantSplit/>
        <w:trHeight w:val="323"/>
      </w:trPr>
      <w:tc>
        <w:tcPr>
          <w:tcW w:w="0" w:type="pct"/>
          <w:gridSpan w:val="3"/>
        </w:tcPr>
        <w:p w:rsidR="00EC379B" w:rsidRDefault="005E6A9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E6A99" w:rsidP="009C1E9A">
          <w:pPr>
            <w:pStyle w:val="Footer"/>
            <w:tabs>
              <w:tab w:val="clear" w:pos="8640"/>
              <w:tab w:val="right" w:pos="9360"/>
            </w:tabs>
            <w:jc w:val="center"/>
          </w:pPr>
        </w:p>
      </w:tc>
    </w:tr>
  </w:tbl>
  <w:p w:rsidR="00EC379B" w:rsidRPr="00FF6F72" w:rsidRDefault="005E6A9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2" w:rsidRDefault="005E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6A99">
      <w:r>
        <w:separator/>
      </w:r>
    </w:p>
  </w:footnote>
  <w:footnote w:type="continuationSeparator" w:id="0">
    <w:p w:rsidR="00000000" w:rsidRDefault="005E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2" w:rsidRDefault="005E6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2" w:rsidRDefault="005E6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C2" w:rsidRDefault="005E6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E0"/>
    <w:rsid w:val="005E6A99"/>
    <w:rsid w:val="0097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1631"/>
    <w:rPr>
      <w:sz w:val="16"/>
      <w:szCs w:val="16"/>
    </w:rPr>
  </w:style>
  <w:style w:type="paragraph" w:styleId="CommentText">
    <w:name w:val="annotation text"/>
    <w:basedOn w:val="Normal"/>
    <w:link w:val="CommentTextChar"/>
    <w:rsid w:val="00651631"/>
    <w:rPr>
      <w:sz w:val="20"/>
      <w:szCs w:val="20"/>
    </w:rPr>
  </w:style>
  <w:style w:type="character" w:customStyle="1" w:styleId="CommentTextChar">
    <w:name w:val="Comment Text Char"/>
    <w:basedOn w:val="DefaultParagraphFont"/>
    <w:link w:val="CommentText"/>
    <w:rsid w:val="00651631"/>
  </w:style>
  <w:style w:type="paragraph" w:styleId="CommentSubject">
    <w:name w:val="annotation subject"/>
    <w:basedOn w:val="CommentText"/>
    <w:next w:val="CommentText"/>
    <w:link w:val="CommentSubjectChar"/>
    <w:rsid w:val="00651631"/>
    <w:rPr>
      <w:b/>
      <w:bCs/>
    </w:rPr>
  </w:style>
  <w:style w:type="character" w:customStyle="1" w:styleId="CommentSubjectChar">
    <w:name w:val="Comment Subject Char"/>
    <w:basedOn w:val="CommentTextChar"/>
    <w:link w:val="CommentSubject"/>
    <w:rsid w:val="006516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51631"/>
    <w:rPr>
      <w:sz w:val="16"/>
      <w:szCs w:val="16"/>
    </w:rPr>
  </w:style>
  <w:style w:type="paragraph" w:styleId="CommentText">
    <w:name w:val="annotation text"/>
    <w:basedOn w:val="Normal"/>
    <w:link w:val="CommentTextChar"/>
    <w:rsid w:val="00651631"/>
    <w:rPr>
      <w:sz w:val="20"/>
      <w:szCs w:val="20"/>
    </w:rPr>
  </w:style>
  <w:style w:type="character" w:customStyle="1" w:styleId="CommentTextChar">
    <w:name w:val="Comment Text Char"/>
    <w:basedOn w:val="DefaultParagraphFont"/>
    <w:link w:val="CommentText"/>
    <w:rsid w:val="00651631"/>
  </w:style>
  <w:style w:type="paragraph" w:styleId="CommentSubject">
    <w:name w:val="annotation subject"/>
    <w:basedOn w:val="CommentText"/>
    <w:next w:val="CommentText"/>
    <w:link w:val="CommentSubjectChar"/>
    <w:rsid w:val="00651631"/>
    <w:rPr>
      <w:b/>
      <w:bCs/>
    </w:rPr>
  </w:style>
  <w:style w:type="character" w:customStyle="1" w:styleId="CommentSubjectChar">
    <w:name w:val="Comment Subject Char"/>
    <w:basedOn w:val="CommentTextChar"/>
    <w:link w:val="CommentSubject"/>
    <w:rsid w:val="00651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1657</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HB00986 (Committee Report (Substituted))</vt:lpstr>
    </vt:vector>
  </TitlesOfParts>
  <Company>State of Texas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28139</dc:subject>
  <dc:creator>State of Texas</dc:creator>
  <dc:description>SB 849 by Huffines-(H)Licensing &amp; Administrative Procedures</dc:description>
  <cp:lastModifiedBy>Molly Hoffman-Bricker</cp:lastModifiedBy>
  <cp:revision>2</cp:revision>
  <cp:lastPrinted>2017-04-23T16:07:00Z</cp:lastPrinted>
  <dcterms:created xsi:type="dcterms:W3CDTF">2017-05-05T02:03:00Z</dcterms:created>
  <dcterms:modified xsi:type="dcterms:W3CDTF">2017-05-05T02:03:00Z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17.123.252</vt:lpwstr>
  </property>
</Properties>
</file>