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B8" w:rsidRDefault="00D65F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C273C264B11465DBA77A4F0EA5AE317"/>
          </w:placeholder>
        </w:sdtPr>
        <w:sdtContent>
          <w:r w:rsidRPr="005C2A78">
            <w:rPr>
              <w:rFonts w:cs="Times New Roman"/>
              <w:b/>
              <w:szCs w:val="24"/>
              <w:u w:val="single"/>
            </w:rPr>
            <w:t>BILL ANALYSIS</w:t>
          </w:r>
        </w:sdtContent>
      </w:sdt>
    </w:p>
    <w:p w:rsidR="00D65FB8" w:rsidRPr="00585C31" w:rsidRDefault="00D65FB8" w:rsidP="000F1DF9">
      <w:pPr>
        <w:spacing w:after="0" w:line="240" w:lineRule="auto"/>
        <w:rPr>
          <w:rFonts w:cs="Times New Roman"/>
          <w:szCs w:val="24"/>
        </w:rPr>
      </w:pPr>
    </w:p>
    <w:p w:rsidR="00D65FB8" w:rsidRPr="00585C31" w:rsidRDefault="00D65F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5FB8" w:rsidTr="000F1DF9">
        <w:tc>
          <w:tcPr>
            <w:tcW w:w="2718" w:type="dxa"/>
          </w:tcPr>
          <w:p w:rsidR="00D65FB8" w:rsidRPr="005C2A78" w:rsidRDefault="00D65FB8" w:rsidP="006D756B">
            <w:pPr>
              <w:rPr>
                <w:rFonts w:cs="Times New Roman"/>
                <w:szCs w:val="24"/>
              </w:rPr>
            </w:pPr>
            <w:sdt>
              <w:sdtPr>
                <w:rPr>
                  <w:rFonts w:cs="Times New Roman"/>
                  <w:szCs w:val="24"/>
                </w:rPr>
                <w:alias w:val="Agency Title"/>
                <w:tag w:val="AgencyTitleContentControl"/>
                <w:id w:val="1920747753"/>
                <w:lock w:val="sdtContentLocked"/>
                <w:placeholder>
                  <w:docPart w:val="ABFAFD4817EA4087B43BC179C4BBA987"/>
                </w:placeholder>
              </w:sdtPr>
              <w:sdtEndPr>
                <w:rPr>
                  <w:rFonts w:cstheme="minorBidi"/>
                  <w:szCs w:val="22"/>
                </w:rPr>
              </w:sdtEndPr>
              <w:sdtContent>
                <w:r>
                  <w:rPr>
                    <w:rFonts w:cs="Times New Roman"/>
                    <w:szCs w:val="24"/>
                  </w:rPr>
                  <w:t>Senate Research Center</w:t>
                </w:r>
              </w:sdtContent>
            </w:sdt>
          </w:p>
        </w:tc>
        <w:tc>
          <w:tcPr>
            <w:tcW w:w="6858" w:type="dxa"/>
          </w:tcPr>
          <w:p w:rsidR="00D65FB8" w:rsidRPr="00FF6471" w:rsidRDefault="00D65FB8" w:rsidP="000F1DF9">
            <w:pPr>
              <w:jc w:val="right"/>
              <w:rPr>
                <w:rFonts w:cs="Times New Roman"/>
                <w:szCs w:val="24"/>
              </w:rPr>
            </w:pPr>
            <w:sdt>
              <w:sdtPr>
                <w:rPr>
                  <w:rFonts w:cs="Times New Roman"/>
                  <w:szCs w:val="24"/>
                </w:rPr>
                <w:alias w:val="Bill Number"/>
                <w:tag w:val="BillNumberOne"/>
                <w:id w:val="-410784069"/>
                <w:lock w:val="sdtContentLocked"/>
                <w:placeholder>
                  <w:docPart w:val="16B57987EC2942CBB06EE5447A0C5BDA"/>
                </w:placeholder>
              </w:sdtPr>
              <w:sdtContent>
                <w:r>
                  <w:rPr>
                    <w:rFonts w:cs="Times New Roman"/>
                    <w:szCs w:val="24"/>
                  </w:rPr>
                  <w:t>S.B. 924</w:t>
                </w:r>
              </w:sdtContent>
            </w:sdt>
          </w:p>
        </w:tc>
      </w:tr>
      <w:tr w:rsidR="00D65FB8" w:rsidTr="000F1DF9">
        <w:sdt>
          <w:sdtPr>
            <w:rPr>
              <w:rFonts w:cs="Times New Roman"/>
              <w:szCs w:val="24"/>
            </w:rPr>
            <w:alias w:val="TLCNumber"/>
            <w:tag w:val="TLCNumber"/>
            <w:id w:val="-542600604"/>
            <w:lock w:val="sdtLocked"/>
            <w:placeholder>
              <w:docPart w:val="D5D5E1F11481403CA038D0E1E2DEFA9D"/>
            </w:placeholder>
            <w:showingPlcHdr/>
          </w:sdtPr>
          <w:sdtContent>
            <w:tc>
              <w:tcPr>
                <w:tcW w:w="2718" w:type="dxa"/>
              </w:tcPr>
              <w:p w:rsidR="00D65FB8" w:rsidRPr="000F1DF9" w:rsidRDefault="00D65FB8" w:rsidP="00C65088">
                <w:pPr>
                  <w:rPr>
                    <w:rFonts w:cs="Times New Roman"/>
                    <w:szCs w:val="24"/>
                  </w:rPr>
                </w:pPr>
              </w:p>
            </w:tc>
          </w:sdtContent>
        </w:sdt>
        <w:tc>
          <w:tcPr>
            <w:tcW w:w="6858" w:type="dxa"/>
          </w:tcPr>
          <w:p w:rsidR="00D65FB8" w:rsidRPr="005C2A78" w:rsidRDefault="00D65FB8" w:rsidP="006D756B">
            <w:pPr>
              <w:jc w:val="right"/>
              <w:rPr>
                <w:rFonts w:cs="Times New Roman"/>
                <w:szCs w:val="24"/>
              </w:rPr>
            </w:pPr>
            <w:sdt>
              <w:sdtPr>
                <w:rPr>
                  <w:rFonts w:cs="Times New Roman"/>
                  <w:szCs w:val="24"/>
                </w:rPr>
                <w:alias w:val="Author Label"/>
                <w:tag w:val="By"/>
                <w:id w:val="72399597"/>
                <w:lock w:val="sdtLocked"/>
                <w:placeholder>
                  <w:docPart w:val="BF0AEF5372FD4FAF844A0243E83D515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59C0DFCB40476F8CFC101241A1524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FF79CB419084C9EBB58B0B67900B2A3"/>
                </w:placeholder>
                <w:showingPlcHdr/>
              </w:sdtPr>
              <w:sdtContent/>
            </w:sdt>
          </w:p>
        </w:tc>
      </w:tr>
      <w:tr w:rsidR="00D65FB8" w:rsidTr="000F1DF9">
        <w:tc>
          <w:tcPr>
            <w:tcW w:w="2718" w:type="dxa"/>
          </w:tcPr>
          <w:p w:rsidR="00D65FB8" w:rsidRPr="00BC7495" w:rsidRDefault="00D65FB8" w:rsidP="000F1DF9">
            <w:pPr>
              <w:rPr>
                <w:rFonts w:cs="Times New Roman"/>
                <w:szCs w:val="24"/>
              </w:rPr>
            </w:pPr>
          </w:p>
        </w:tc>
        <w:sdt>
          <w:sdtPr>
            <w:rPr>
              <w:rFonts w:cs="Times New Roman"/>
              <w:szCs w:val="24"/>
            </w:rPr>
            <w:alias w:val="Committee"/>
            <w:tag w:val="Committee"/>
            <w:id w:val="1914272295"/>
            <w:lock w:val="sdtContentLocked"/>
            <w:placeholder>
              <w:docPart w:val="E21EC69D5CFB493ABC1A1F048B8A6B41"/>
            </w:placeholder>
          </w:sdtPr>
          <w:sdtContent>
            <w:tc>
              <w:tcPr>
                <w:tcW w:w="6858" w:type="dxa"/>
              </w:tcPr>
              <w:p w:rsidR="00D65FB8" w:rsidRPr="00FF6471" w:rsidRDefault="00D65FB8" w:rsidP="000F1DF9">
                <w:pPr>
                  <w:jc w:val="right"/>
                  <w:rPr>
                    <w:rFonts w:cs="Times New Roman"/>
                    <w:szCs w:val="24"/>
                  </w:rPr>
                </w:pPr>
                <w:r>
                  <w:rPr>
                    <w:rFonts w:cs="Times New Roman"/>
                    <w:szCs w:val="24"/>
                  </w:rPr>
                  <w:t>Health &amp; Human Services</w:t>
                </w:r>
              </w:p>
            </w:tc>
          </w:sdtContent>
        </w:sdt>
      </w:tr>
      <w:tr w:rsidR="00D65FB8" w:rsidTr="000F1DF9">
        <w:tc>
          <w:tcPr>
            <w:tcW w:w="2718" w:type="dxa"/>
          </w:tcPr>
          <w:p w:rsidR="00D65FB8" w:rsidRPr="00BC7495" w:rsidRDefault="00D65FB8" w:rsidP="000F1DF9">
            <w:pPr>
              <w:rPr>
                <w:rFonts w:cs="Times New Roman"/>
                <w:szCs w:val="24"/>
              </w:rPr>
            </w:pPr>
          </w:p>
        </w:tc>
        <w:sdt>
          <w:sdtPr>
            <w:rPr>
              <w:rFonts w:cs="Times New Roman"/>
              <w:szCs w:val="24"/>
            </w:rPr>
            <w:alias w:val="Date"/>
            <w:tag w:val="DateContentControl"/>
            <w:id w:val="1178081906"/>
            <w:lock w:val="sdtLocked"/>
            <w:placeholder>
              <w:docPart w:val="8091464332064E92A7BCFB99A476FC2D"/>
            </w:placeholder>
            <w:date w:fullDate="2017-06-02T00:00:00Z">
              <w:dateFormat w:val="M/d/yyyy"/>
              <w:lid w:val="en-US"/>
              <w:storeMappedDataAs w:val="dateTime"/>
              <w:calendar w:val="gregorian"/>
            </w:date>
          </w:sdtPr>
          <w:sdtContent>
            <w:tc>
              <w:tcPr>
                <w:tcW w:w="6858" w:type="dxa"/>
              </w:tcPr>
              <w:p w:rsidR="00D65FB8" w:rsidRPr="00FF6471" w:rsidRDefault="00D65FB8" w:rsidP="000F1DF9">
                <w:pPr>
                  <w:jc w:val="right"/>
                  <w:rPr>
                    <w:rFonts w:cs="Times New Roman"/>
                    <w:szCs w:val="24"/>
                  </w:rPr>
                </w:pPr>
                <w:r>
                  <w:rPr>
                    <w:rFonts w:cs="Times New Roman"/>
                    <w:szCs w:val="24"/>
                  </w:rPr>
                  <w:t>6/2/2017</w:t>
                </w:r>
              </w:p>
            </w:tc>
          </w:sdtContent>
        </w:sdt>
      </w:tr>
      <w:tr w:rsidR="00D65FB8" w:rsidTr="000F1DF9">
        <w:tc>
          <w:tcPr>
            <w:tcW w:w="2718" w:type="dxa"/>
          </w:tcPr>
          <w:p w:rsidR="00D65FB8" w:rsidRPr="00BC7495" w:rsidRDefault="00D65FB8" w:rsidP="000F1DF9">
            <w:pPr>
              <w:rPr>
                <w:rFonts w:cs="Times New Roman"/>
                <w:szCs w:val="24"/>
              </w:rPr>
            </w:pPr>
          </w:p>
        </w:tc>
        <w:sdt>
          <w:sdtPr>
            <w:rPr>
              <w:rFonts w:cs="Times New Roman"/>
              <w:szCs w:val="24"/>
            </w:rPr>
            <w:alias w:val="BA Version"/>
            <w:tag w:val="BAVersion"/>
            <w:id w:val="-1685590809"/>
            <w:lock w:val="sdtContentLocked"/>
            <w:placeholder>
              <w:docPart w:val="F346B80B8BB74946BDB12E99144C9D7E"/>
            </w:placeholder>
          </w:sdtPr>
          <w:sdtContent>
            <w:tc>
              <w:tcPr>
                <w:tcW w:w="6858" w:type="dxa"/>
              </w:tcPr>
              <w:p w:rsidR="00D65FB8" w:rsidRPr="00FF6471" w:rsidRDefault="00D65FB8" w:rsidP="000F1DF9">
                <w:pPr>
                  <w:jc w:val="right"/>
                  <w:rPr>
                    <w:rFonts w:cs="Times New Roman"/>
                    <w:szCs w:val="24"/>
                  </w:rPr>
                </w:pPr>
                <w:r>
                  <w:rPr>
                    <w:rFonts w:cs="Times New Roman"/>
                    <w:szCs w:val="24"/>
                  </w:rPr>
                  <w:t>Enrolled</w:t>
                </w:r>
              </w:p>
            </w:tc>
          </w:sdtContent>
        </w:sdt>
      </w:tr>
    </w:tbl>
    <w:p w:rsidR="00D65FB8" w:rsidRPr="00FF6471" w:rsidRDefault="00D65FB8" w:rsidP="000F1DF9">
      <w:pPr>
        <w:spacing w:after="0" w:line="240" w:lineRule="auto"/>
        <w:rPr>
          <w:rFonts w:cs="Times New Roman"/>
          <w:szCs w:val="24"/>
        </w:rPr>
      </w:pPr>
    </w:p>
    <w:p w:rsidR="00D65FB8" w:rsidRPr="00FF6471" w:rsidRDefault="00D65FB8" w:rsidP="000F1DF9">
      <w:pPr>
        <w:spacing w:after="0" w:line="240" w:lineRule="auto"/>
        <w:rPr>
          <w:rFonts w:cs="Times New Roman"/>
          <w:szCs w:val="24"/>
        </w:rPr>
      </w:pPr>
    </w:p>
    <w:p w:rsidR="00D65FB8" w:rsidRPr="00FF6471" w:rsidRDefault="00D65F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082FC1FC594DD386731B4767511FB0"/>
        </w:placeholder>
      </w:sdtPr>
      <w:sdtContent>
        <w:p w:rsidR="00D65FB8" w:rsidRDefault="00D65F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CF7F61542C46DA892A0DFCD213896A"/>
        </w:placeholder>
      </w:sdtPr>
      <w:sdtContent>
        <w:p w:rsidR="00D65FB8" w:rsidRDefault="00D65FB8" w:rsidP="003D14C5">
          <w:pPr>
            <w:pStyle w:val="NormalWeb"/>
            <w:spacing w:before="0" w:beforeAutospacing="0" w:after="0" w:afterAutospacing="0"/>
            <w:jc w:val="both"/>
            <w:divId w:val="1712266206"/>
            <w:rPr>
              <w:rFonts w:eastAsia="Times New Roman"/>
              <w:bCs/>
            </w:rPr>
          </w:pPr>
        </w:p>
        <w:p w:rsidR="00D65FB8" w:rsidRPr="003D14C5" w:rsidRDefault="00D65FB8" w:rsidP="003D14C5">
          <w:pPr>
            <w:pStyle w:val="NormalWeb"/>
            <w:spacing w:before="0" w:beforeAutospacing="0" w:after="0" w:afterAutospacing="0"/>
            <w:jc w:val="both"/>
            <w:divId w:val="1712266206"/>
          </w:pPr>
          <w:r w:rsidRPr="003D14C5">
            <w:t>Currently, an assisted living community that disputes a survey finding from the Department of Aging and Disability Services (DADS) can appeal the finding to the Health and Human Services Commission (HHSC) in a process called informal dispute resolution (IDR). The consolidation of DADS into HHSC will mean that the same agency that is issuing survey findings would be determining the validity of those findings. S.B. 924 establishes a balanced IDR process for assisted living communities by ensuring an independent third party is conducting the IDR hearings and providing a framework. (Original Author’s / Sponsor’s Statement of Intent)</w:t>
          </w:r>
        </w:p>
        <w:p w:rsidR="00D65FB8" w:rsidRDefault="00D65FB8" w:rsidP="003D14C5">
          <w:pPr>
            <w:pStyle w:val="NormalWeb"/>
            <w:spacing w:before="0" w:beforeAutospacing="0" w:after="0" w:afterAutospacing="0"/>
            <w:jc w:val="both"/>
            <w:divId w:val="1712266206"/>
          </w:pPr>
        </w:p>
        <w:p w:rsidR="00D65FB8" w:rsidRPr="003D14C5" w:rsidRDefault="00D65FB8" w:rsidP="003D14C5">
          <w:pPr>
            <w:pStyle w:val="NormalWeb"/>
            <w:spacing w:before="0" w:beforeAutospacing="0" w:after="0" w:afterAutospacing="0"/>
            <w:jc w:val="both"/>
            <w:divId w:val="1712266206"/>
          </w:pPr>
          <w:r w:rsidRPr="003D14C5">
            <w:t>S.B. 924 amends current law relating to informal dispute resolutions for violations of health and safety standards at certain long-term care facilities and authorizes the imposition of costs.</w:t>
          </w:r>
        </w:p>
        <w:p w:rsidR="00D65FB8" w:rsidRPr="003D14C5" w:rsidRDefault="00D65FB8"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65FB8" w:rsidRPr="005C2A78" w:rsidRDefault="00D65F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DF9A0CFD0F454C82C9AFF2747C7211"/>
          </w:placeholder>
        </w:sdtPr>
        <w:sdtContent>
          <w:r>
            <w:rPr>
              <w:rFonts w:eastAsia="Times New Roman" w:cs="Times New Roman"/>
              <w:b/>
              <w:szCs w:val="24"/>
              <w:u w:val="single"/>
            </w:rPr>
            <w:t>RULEMAKING AUTHORITY</w:t>
          </w:r>
        </w:sdtContent>
      </w:sdt>
    </w:p>
    <w:p w:rsidR="00D65FB8" w:rsidRPr="006529C4" w:rsidRDefault="00D65FB8" w:rsidP="00774EC7">
      <w:pPr>
        <w:spacing w:after="0" w:line="240" w:lineRule="auto"/>
        <w:jc w:val="both"/>
        <w:rPr>
          <w:rFonts w:cs="Times New Roman"/>
          <w:szCs w:val="24"/>
        </w:rPr>
      </w:pPr>
    </w:p>
    <w:p w:rsidR="00D65FB8" w:rsidRPr="003D14C5" w:rsidRDefault="00D65FB8" w:rsidP="003D14C5">
      <w:pPr>
        <w:spacing w:after="0" w:line="240" w:lineRule="auto"/>
        <w:jc w:val="both"/>
        <w:rPr>
          <w:rFonts w:cs="Times New Roman"/>
          <w:szCs w:val="24"/>
        </w:rPr>
      </w:pPr>
      <w:r w:rsidRPr="003D14C5">
        <w:rPr>
          <w:szCs w:val="24"/>
        </w:rPr>
        <w:t>Rulemaking authority previously granted to the executive commissioner of the Health and Human Services Commission is modified in SECTION 1 (Section 247.051, Health and Safety Code) and SECTION 2 (Section 531.058, Government Code) of this bill.</w:t>
      </w:r>
    </w:p>
    <w:p w:rsidR="00D65FB8" w:rsidRPr="006529C4" w:rsidRDefault="00D65FB8" w:rsidP="00774EC7">
      <w:pPr>
        <w:spacing w:after="0" w:line="240" w:lineRule="auto"/>
        <w:jc w:val="both"/>
        <w:rPr>
          <w:rFonts w:cs="Times New Roman"/>
          <w:szCs w:val="24"/>
        </w:rPr>
      </w:pPr>
    </w:p>
    <w:p w:rsidR="00D65FB8" w:rsidRPr="005C2A78" w:rsidRDefault="00D65F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FF79B3EDFA4E1297249FE3D89BB9D9"/>
          </w:placeholder>
        </w:sdtPr>
        <w:sdtContent>
          <w:r>
            <w:rPr>
              <w:rFonts w:eastAsia="Times New Roman" w:cs="Times New Roman"/>
              <w:b/>
              <w:szCs w:val="24"/>
              <w:u w:val="single"/>
            </w:rPr>
            <w:t>SECTION BY SECTION ANALYSIS</w:t>
          </w:r>
        </w:sdtContent>
      </w:sdt>
    </w:p>
    <w:p w:rsidR="00D65FB8" w:rsidRPr="005C2A78" w:rsidRDefault="00D65FB8" w:rsidP="000F1DF9">
      <w:pPr>
        <w:spacing w:after="0" w:line="240" w:lineRule="auto"/>
        <w:jc w:val="both"/>
        <w:rPr>
          <w:rFonts w:eastAsia="Times New Roman" w:cs="Times New Roman"/>
          <w:szCs w:val="24"/>
        </w:rPr>
      </w:pPr>
    </w:p>
    <w:p w:rsidR="00D65FB8" w:rsidRPr="00A162EA" w:rsidRDefault="00D65FB8" w:rsidP="00A162EA">
      <w:pPr>
        <w:pStyle w:val="Default"/>
        <w:jc w:val="both"/>
      </w:pPr>
      <w:r w:rsidRPr="00A162EA">
        <w:t xml:space="preserve">SECTION 1. Amends Sections 247.051, Health and Safety Code, by amending Subsections (a), (c), and (d) and adding Subsection (e), as follows: </w:t>
      </w:r>
    </w:p>
    <w:p w:rsidR="00D65FB8" w:rsidRPr="00A162EA" w:rsidRDefault="00D65FB8" w:rsidP="00A162EA">
      <w:pPr>
        <w:pStyle w:val="Default"/>
        <w:jc w:val="both"/>
      </w:pPr>
    </w:p>
    <w:p w:rsidR="00D65FB8" w:rsidRPr="00A162EA" w:rsidRDefault="00D65FB8" w:rsidP="00A162EA">
      <w:pPr>
        <w:pStyle w:val="Default"/>
        <w:ind w:left="720"/>
        <w:jc w:val="both"/>
      </w:pPr>
      <w:r w:rsidRPr="00A162EA">
        <w:t xml:space="preserve">(a) Requires the executive commissioner of the Health and Human Services Commission (executive commissioner; HHSC), by rule, to establish an informal dispute resolution (IDR) process to address disputes between an assisted living facility (facility) and HHSC concerning a statement of violations prepared by HHSC, rather than to address disputes between a facility and the Department of Aging and Disability Services (DADS) concerning a statement of violations prepared by DADS. Requires that the IDR process require: </w:t>
      </w:r>
    </w:p>
    <w:p w:rsidR="00D65FB8" w:rsidRPr="00A162EA" w:rsidRDefault="00D65FB8" w:rsidP="00A162EA">
      <w:pPr>
        <w:pStyle w:val="Default"/>
        <w:jc w:val="both"/>
      </w:pPr>
    </w:p>
    <w:p w:rsidR="00D65FB8" w:rsidRPr="00A162EA" w:rsidRDefault="00D65FB8" w:rsidP="00A162EA">
      <w:pPr>
        <w:pStyle w:val="Default"/>
        <w:ind w:left="1440"/>
        <w:jc w:val="both"/>
      </w:pPr>
      <w:r w:rsidRPr="00A162EA">
        <w:t xml:space="preserve">(1) makes a conforming change; </w:t>
      </w:r>
    </w:p>
    <w:p w:rsidR="00D65FB8" w:rsidRPr="00A162EA" w:rsidRDefault="00D65FB8" w:rsidP="00A162EA">
      <w:pPr>
        <w:pStyle w:val="Default"/>
        <w:ind w:left="1440"/>
        <w:jc w:val="both"/>
      </w:pPr>
    </w:p>
    <w:p w:rsidR="00D65FB8" w:rsidRPr="00A162EA" w:rsidRDefault="00D65FB8" w:rsidP="00A162EA">
      <w:pPr>
        <w:pStyle w:val="Default"/>
        <w:ind w:left="1440"/>
        <w:jc w:val="both"/>
      </w:pPr>
      <w:r w:rsidRPr="00A162EA">
        <w:t xml:space="preserve">(2) that the process be completed not later than a certain date, rather than HHSC to complete the process not later than a certain date; </w:t>
      </w:r>
    </w:p>
    <w:p w:rsidR="00D65FB8" w:rsidRPr="00A162EA" w:rsidRDefault="00D65FB8" w:rsidP="00A162EA">
      <w:pPr>
        <w:pStyle w:val="Default"/>
        <w:ind w:left="1440"/>
        <w:jc w:val="both"/>
      </w:pPr>
    </w:p>
    <w:p w:rsidR="00D65FB8" w:rsidRPr="00A162EA" w:rsidRDefault="00D65FB8" w:rsidP="00A162EA">
      <w:pPr>
        <w:pStyle w:val="Default"/>
        <w:ind w:left="1440"/>
        <w:jc w:val="both"/>
      </w:pPr>
      <w:r w:rsidRPr="00A162EA">
        <w:t>(3) that, not later than the 20th business day</w:t>
      </w:r>
      <w:r>
        <w:t xml:space="preserve"> after the date a facility requests an IDR</w:t>
      </w:r>
      <w:r w:rsidRPr="00A162EA">
        <w:t>, rather than not la</w:t>
      </w:r>
      <w:r>
        <w:t xml:space="preserve">ter than the 10th business day after the date a facility requests an IDR, </w:t>
      </w:r>
      <w:r w:rsidRPr="00A162EA">
        <w:t xml:space="preserve">HHSC forward to the facility a copy of certain information, including any notes taken by or e-mails or messages sent by an HHSC employee involved with the survey, inspection, investigation, or other visit and excluding the following information: </w:t>
      </w:r>
    </w:p>
    <w:p w:rsidR="00D65FB8" w:rsidRPr="00A162EA" w:rsidRDefault="00D65FB8" w:rsidP="00A162EA">
      <w:pPr>
        <w:pStyle w:val="Default"/>
        <w:jc w:val="both"/>
      </w:pPr>
    </w:p>
    <w:p w:rsidR="00D65FB8" w:rsidRPr="00A162EA" w:rsidRDefault="00D65FB8" w:rsidP="00A162EA">
      <w:pPr>
        <w:pStyle w:val="Default"/>
        <w:ind w:left="2160"/>
        <w:jc w:val="both"/>
      </w:pPr>
      <w:r w:rsidRPr="00A162EA">
        <w:t xml:space="preserve">(A) the name of any complainant, witness, or informant, which is required to be redacted from information provided to the facility; </w:t>
      </w:r>
    </w:p>
    <w:p w:rsidR="00D65FB8" w:rsidRPr="00A162EA" w:rsidRDefault="00D65FB8" w:rsidP="00A162EA">
      <w:pPr>
        <w:spacing w:after="0" w:line="240" w:lineRule="auto"/>
        <w:ind w:left="2160"/>
        <w:jc w:val="both"/>
        <w:rPr>
          <w:szCs w:val="24"/>
        </w:rPr>
      </w:pPr>
    </w:p>
    <w:p w:rsidR="00D65FB8" w:rsidRPr="00A162EA" w:rsidRDefault="00D65FB8" w:rsidP="00A162EA">
      <w:pPr>
        <w:spacing w:after="0" w:line="240" w:lineRule="auto"/>
        <w:ind w:left="2160"/>
        <w:jc w:val="both"/>
        <w:rPr>
          <w:rFonts w:eastAsia="Times New Roman" w:cs="Times New Roman"/>
          <w:szCs w:val="24"/>
        </w:rPr>
      </w:pPr>
      <w:r w:rsidRPr="00A162EA">
        <w:rPr>
          <w:szCs w:val="24"/>
        </w:rPr>
        <w:t xml:space="preserve">(B) any information that would reasonably lead to the identification of a complainant, witness, or informant, which is required to be redacted from information provided to the facility; </w:t>
      </w:r>
      <w:r w:rsidRPr="00A162EA">
        <w:rPr>
          <w:rFonts w:eastAsia="Times New Roman" w:cs="Times New Roman"/>
          <w:szCs w:val="24"/>
        </w:rPr>
        <w:t xml:space="preserve"> </w:t>
      </w:r>
    </w:p>
    <w:p w:rsidR="00D65FB8" w:rsidRPr="00A162EA" w:rsidRDefault="00D65FB8" w:rsidP="00A162EA">
      <w:pPr>
        <w:pStyle w:val="Default"/>
        <w:jc w:val="both"/>
      </w:pPr>
    </w:p>
    <w:p w:rsidR="00D65FB8" w:rsidRDefault="00D65FB8" w:rsidP="00A162EA">
      <w:pPr>
        <w:pStyle w:val="Default"/>
        <w:ind w:left="2160"/>
        <w:jc w:val="both"/>
        <w:rPr>
          <w:color w:val="auto"/>
        </w:rPr>
      </w:pPr>
      <w:r w:rsidRPr="00A162EA">
        <w:rPr>
          <w:color w:val="auto"/>
        </w:rPr>
        <w:t>(C) t</w:t>
      </w:r>
      <w:r>
        <w:rPr>
          <w:color w:val="auto"/>
        </w:rPr>
        <w:t>hrough</w:t>
      </w:r>
      <w:r w:rsidRPr="00A162EA">
        <w:rPr>
          <w:color w:val="auto"/>
        </w:rPr>
        <w:t xml:space="preserve"> (E) makes no changes to these paragraphs; </w:t>
      </w:r>
    </w:p>
    <w:p w:rsidR="00D65FB8" w:rsidRPr="00A162EA" w:rsidRDefault="00D65FB8" w:rsidP="00A162EA">
      <w:pPr>
        <w:pStyle w:val="Default"/>
        <w:ind w:left="2160"/>
        <w:jc w:val="both"/>
        <w:rPr>
          <w:color w:val="auto"/>
        </w:rPr>
      </w:pPr>
    </w:p>
    <w:p w:rsidR="00D65FB8" w:rsidRPr="00A162EA" w:rsidRDefault="00D65FB8" w:rsidP="00A162EA">
      <w:pPr>
        <w:pStyle w:val="Default"/>
        <w:ind w:left="1440"/>
        <w:jc w:val="both"/>
        <w:rPr>
          <w:color w:val="auto"/>
        </w:rPr>
      </w:pPr>
      <w:r w:rsidRPr="00A162EA">
        <w:rPr>
          <w:color w:val="auto"/>
        </w:rPr>
        <w:t xml:space="preserve">(4) that full consideration is given to all factual arguments raised during the IDR process, rather than HSSC to give full consideration to all factual arguments raised during the IDR process that meet certain criteria; </w:t>
      </w:r>
    </w:p>
    <w:p w:rsidR="00D65FB8" w:rsidRPr="00A162EA" w:rsidRDefault="00D65FB8" w:rsidP="00A162EA">
      <w:pPr>
        <w:pStyle w:val="Default"/>
        <w:jc w:val="both"/>
        <w:rPr>
          <w:color w:val="auto"/>
        </w:rPr>
      </w:pPr>
    </w:p>
    <w:p w:rsidR="00D65FB8" w:rsidRPr="00A162EA" w:rsidRDefault="00D65FB8" w:rsidP="00A162EA">
      <w:pPr>
        <w:pStyle w:val="Default"/>
        <w:ind w:left="1440"/>
        <w:jc w:val="both"/>
        <w:rPr>
          <w:color w:val="auto"/>
        </w:rPr>
      </w:pPr>
      <w:r w:rsidRPr="00A162EA">
        <w:rPr>
          <w:color w:val="auto"/>
        </w:rPr>
        <w:t>(5) that full consideration is given during the IDR process to the provided information, rather than that IDR staff give full considerat</w:t>
      </w:r>
      <w:r>
        <w:rPr>
          <w:color w:val="auto"/>
        </w:rPr>
        <w:t>ion to the provided information. M</w:t>
      </w:r>
      <w:r w:rsidRPr="00A162EA">
        <w:rPr>
          <w:color w:val="auto"/>
        </w:rPr>
        <w:t xml:space="preserve">akes a conforming change; </w:t>
      </w:r>
    </w:p>
    <w:p w:rsidR="00D65FB8" w:rsidRPr="00A162EA" w:rsidRDefault="00D65FB8" w:rsidP="00A162EA">
      <w:pPr>
        <w:pStyle w:val="Default"/>
        <w:ind w:left="1440"/>
        <w:jc w:val="both"/>
        <w:rPr>
          <w:color w:val="auto"/>
        </w:rPr>
      </w:pPr>
    </w:p>
    <w:p w:rsidR="00D65FB8" w:rsidRPr="00A162EA" w:rsidRDefault="00D65FB8" w:rsidP="00A162EA">
      <w:pPr>
        <w:pStyle w:val="Default"/>
        <w:ind w:left="1440"/>
        <w:jc w:val="both"/>
        <w:rPr>
          <w:color w:val="auto"/>
        </w:rPr>
      </w:pPr>
      <w:r w:rsidRPr="00A162EA">
        <w:rPr>
          <w:color w:val="auto"/>
        </w:rPr>
        <w:t xml:space="preserve">(6) makes a conforming and nonsubstantive change; </w:t>
      </w:r>
    </w:p>
    <w:p w:rsidR="00D65FB8" w:rsidRPr="00A162EA" w:rsidRDefault="00D65FB8" w:rsidP="00A162EA">
      <w:pPr>
        <w:pStyle w:val="Default"/>
        <w:ind w:left="1440"/>
        <w:jc w:val="both"/>
        <w:rPr>
          <w:color w:val="auto"/>
        </w:rPr>
      </w:pPr>
    </w:p>
    <w:p w:rsidR="00D65FB8" w:rsidRPr="00A162EA" w:rsidRDefault="00D65FB8" w:rsidP="00A162EA">
      <w:pPr>
        <w:pStyle w:val="Default"/>
        <w:ind w:left="1440"/>
        <w:jc w:val="both"/>
        <w:rPr>
          <w:color w:val="auto"/>
        </w:rPr>
      </w:pPr>
      <w:r w:rsidRPr="00A162EA">
        <w:rPr>
          <w:color w:val="auto"/>
        </w:rPr>
        <w:t xml:space="preserve">(7) that the assisted living facility and </w:t>
      </w:r>
      <w:r>
        <w:rPr>
          <w:color w:val="auto"/>
        </w:rPr>
        <w:t>HHSC</w:t>
      </w:r>
      <w:r w:rsidRPr="00A162EA">
        <w:rPr>
          <w:color w:val="auto"/>
        </w:rPr>
        <w:t xml:space="preserve"> be given a reasonable opportunity to submit arguments and information supporting the position of the facility or </w:t>
      </w:r>
      <w:r>
        <w:rPr>
          <w:color w:val="auto"/>
        </w:rPr>
        <w:t>HHSC</w:t>
      </w:r>
      <w:r w:rsidRPr="00A162EA">
        <w:rPr>
          <w:color w:val="auto"/>
        </w:rPr>
        <w:t xml:space="preserve"> and to respond to arguments and information presented against them, provided the facility submits its arguments and supporting information not later than the 10th business day after the date of receipt of the materials provided under Subdivision (3); and</w:t>
      </w:r>
    </w:p>
    <w:p w:rsidR="00D65FB8" w:rsidRPr="00A162EA" w:rsidRDefault="00D65FB8" w:rsidP="00A162EA">
      <w:pPr>
        <w:pStyle w:val="Default"/>
        <w:ind w:left="1440"/>
        <w:jc w:val="both"/>
        <w:rPr>
          <w:color w:val="auto"/>
        </w:rPr>
      </w:pPr>
    </w:p>
    <w:p w:rsidR="00D65FB8" w:rsidRDefault="00D65FB8" w:rsidP="00A162EA">
      <w:pPr>
        <w:pStyle w:val="Default"/>
        <w:ind w:left="1440"/>
        <w:jc w:val="both"/>
        <w:rPr>
          <w:color w:val="auto"/>
        </w:rPr>
      </w:pPr>
      <w:r w:rsidRPr="00A162EA">
        <w:rPr>
          <w:color w:val="auto"/>
        </w:rPr>
        <w:t xml:space="preserve">(8) that HHSC bears the burden of proving the violation of a standard or standards. </w:t>
      </w:r>
    </w:p>
    <w:p w:rsidR="00D65FB8" w:rsidRDefault="00D65FB8" w:rsidP="00A162EA">
      <w:pPr>
        <w:pStyle w:val="Default"/>
        <w:ind w:left="1440"/>
        <w:jc w:val="both"/>
        <w:rPr>
          <w:color w:val="auto"/>
        </w:rPr>
      </w:pPr>
    </w:p>
    <w:p w:rsidR="00D65FB8" w:rsidRPr="00A162EA" w:rsidRDefault="00D65FB8" w:rsidP="00A162EA">
      <w:pPr>
        <w:pStyle w:val="Default"/>
        <w:ind w:left="1440"/>
        <w:jc w:val="both"/>
        <w:rPr>
          <w:color w:val="auto"/>
        </w:rPr>
      </w:pPr>
      <w:r>
        <w:rPr>
          <w:color w:val="auto"/>
        </w:rPr>
        <w:t xml:space="preserve">Makes conforming and nonsubstantive changes. </w:t>
      </w:r>
    </w:p>
    <w:p w:rsidR="00D65FB8" w:rsidRPr="00A162EA" w:rsidRDefault="00D65FB8" w:rsidP="00A162EA">
      <w:pPr>
        <w:pStyle w:val="Default"/>
        <w:jc w:val="both"/>
        <w:rPr>
          <w:color w:val="auto"/>
        </w:rPr>
      </w:pPr>
    </w:p>
    <w:p w:rsidR="00D65FB8" w:rsidRPr="00A162EA" w:rsidRDefault="00D65FB8" w:rsidP="00A162EA">
      <w:pPr>
        <w:pStyle w:val="Default"/>
        <w:ind w:left="720"/>
        <w:jc w:val="both"/>
        <w:rPr>
          <w:color w:val="auto"/>
        </w:rPr>
      </w:pPr>
      <w:r w:rsidRPr="00A162EA">
        <w:rPr>
          <w:color w:val="auto"/>
        </w:rPr>
        <w:t xml:space="preserve">(c) Requires a facility requesting an IDR to reimburse HHSC, rather than DADS, for certain costs. Makes a conforming change. </w:t>
      </w:r>
    </w:p>
    <w:p w:rsidR="00D65FB8" w:rsidRPr="00A162EA" w:rsidRDefault="00D65FB8" w:rsidP="00A162EA">
      <w:pPr>
        <w:pStyle w:val="Default"/>
        <w:ind w:left="720"/>
        <w:jc w:val="both"/>
        <w:rPr>
          <w:color w:val="auto"/>
        </w:rPr>
      </w:pPr>
    </w:p>
    <w:p w:rsidR="00D65FB8" w:rsidRPr="00A162EA" w:rsidRDefault="00D65FB8" w:rsidP="00A162EA">
      <w:pPr>
        <w:pStyle w:val="Default"/>
        <w:ind w:left="720"/>
        <w:jc w:val="both"/>
        <w:rPr>
          <w:color w:val="auto"/>
        </w:rPr>
      </w:pPr>
      <w:r w:rsidRPr="00A162EA">
        <w:rPr>
          <w:color w:val="auto"/>
        </w:rPr>
        <w:t>(d) Makes conforming change</w:t>
      </w:r>
      <w:r>
        <w:rPr>
          <w:color w:val="auto"/>
        </w:rPr>
        <w:t>s</w:t>
      </w:r>
      <w:r w:rsidRPr="00A162EA">
        <w:rPr>
          <w:color w:val="auto"/>
        </w:rPr>
        <w:t xml:space="preserve">. </w:t>
      </w:r>
    </w:p>
    <w:p w:rsidR="00D65FB8" w:rsidRPr="00A162EA" w:rsidRDefault="00D65FB8" w:rsidP="00A162EA">
      <w:pPr>
        <w:spacing w:after="0" w:line="240" w:lineRule="auto"/>
        <w:ind w:left="2160"/>
        <w:jc w:val="both"/>
        <w:rPr>
          <w:szCs w:val="24"/>
        </w:rPr>
      </w:pPr>
    </w:p>
    <w:p w:rsidR="00D65FB8" w:rsidRPr="00A162EA" w:rsidRDefault="00D65FB8" w:rsidP="00A162EA">
      <w:pPr>
        <w:spacing w:after="0" w:line="240" w:lineRule="auto"/>
        <w:ind w:left="720"/>
        <w:jc w:val="both"/>
        <w:rPr>
          <w:rFonts w:cs="Times New Roman"/>
          <w:szCs w:val="24"/>
        </w:rPr>
      </w:pPr>
      <w:r w:rsidRPr="00A162EA">
        <w:rPr>
          <w:szCs w:val="24"/>
        </w:rPr>
        <w:t xml:space="preserve">(e) Authorizes HHSC to charge, and requires the </w:t>
      </w:r>
      <w:r>
        <w:rPr>
          <w:szCs w:val="24"/>
        </w:rPr>
        <w:t xml:space="preserve">facility to pay, the reasonable </w:t>
      </w:r>
      <w:r w:rsidRPr="00A162EA">
        <w:rPr>
          <w:szCs w:val="24"/>
        </w:rPr>
        <w:t>costs associated with making the redactions required by Subsections (a)(3)(A) and (B).</w:t>
      </w:r>
    </w:p>
    <w:p w:rsidR="00D65FB8" w:rsidRPr="00A162EA" w:rsidRDefault="00D65FB8" w:rsidP="00A162EA">
      <w:pPr>
        <w:spacing w:after="0" w:line="240" w:lineRule="auto"/>
        <w:jc w:val="both"/>
        <w:rPr>
          <w:szCs w:val="24"/>
        </w:rPr>
      </w:pPr>
    </w:p>
    <w:p w:rsidR="00D65FB8" w:rsidRPr="00A162EA" w:rsidRDefault="00D65FB8" w:rsidP="00A162EA">
      <w:pPr>
        <w:pStyle w:val="Default"/>
        <w:jc w:val="both"/>
      </w:pPr>
      <w:r w:rsidRPr="00A162EA">
        <w:t xml:space="preserve">SECTION 2. Amends Section 531.058, Government Code, by amending Subsections (a) and </w:t>
      </w:r>
      <w:r>
        <w:t xml:space="preserve">  </w:t>
      </w:r>
      <w:r w:rsidRPr="00A162EA">
        <w:t>(a-</w:t>
      </w:r>
      <w:r>
        <w:t>1</w:t>
      </w:r>
      <w:r w:rsidRPr="00A162EA">
        <w:t xml:space="preserve">) and adding Subsection (d), as follows: </w:t>
      </w:r>
    </w:p>
    <w:p w:rsidR="00D65FB8" w:rsidRPr="00A162EA" w:rsidRDefault="00D65FB8" w:rsidP="00A162EA">
      <w:pPr>
        <w:pStyle w:val="Default"/>
        <w:jc w:val="both"/>
      </w:pPr>
    </w:p>
    <w:p w:rsidR="00D65FB8" w:rsidRPr="00A162EA" w:rsidRDefault="00D65FB8" w:rsidP="00A162EA">
      <w:pPr>
        <w:pStyle w:val="Default"/>
        <w:ind w:left="720"/>
        <w:jc w:val="both"/>
      </w:pPr>
      <w:r w:rsidRPr="00A162EA">
        <w:t>(a) Requires</w:t>
      </w:r>
      <w:r>
        <w:t xml:space="preserve"> that</w:t>
      </w:r>
      <w:r w:rsidRPr="00A162EA">
        <w:t xml:space="preserve"> the IDR process provide for adjudication of disputes</w:t>
      </w:r>
      <w:r>
        <w:t xml:space="preserve"> by an appropriate disinterested person of disputes</w:t>
      </w:r>
      <w:r w:rsidRPr="00A162EA">
        <w:t xml:space="preserve"> relating to a proposed enforcement action or related proceeding of HHSC, rather than of HHSC or DADS. Requires</w:t>
      </w:r>
      <w:r>
        <w:t xml:space="preserve"> that</w:t>
      </w:r>
      <w:r w:rsidRPr="00A162EA">
        <w:t xml:space="preserve"> the process require: </w:t>
      </w:r>
    </w:p>
    <w:p w:rsidR="00D65FB8" w:rsidRPr="00A162EA" w:rsidRDefault="00D65FB8" w:rsidP="00A162EA">
      <w:pPr>
        <w:pStyle w:val="Default"/>
        <w:jc w:val="both"/>
      </w:pPr>
    </w:p>
    <w:p w:rsidR="00D65FB8" w:rsidRPr="00A162EA" w:rsidRDefault="00D65FB8" w:rsidP="00A162EA">
      <w:pPr>
        <w:pStyle w:val="Default"/>
        <w:ind w:left="1440"/>
        <w:jc w:val="both"/>
      </w:pPr>
      <w:r w:rsidRPr="00A162EA">
        <w:t xml:space="preserve">(1) an institution or facility to request IDR not later than a certain day after notification by HHSC, rather than by HHSC or DADS, as applicable; </w:t>
      </w:r>
    </w:p>
    <w:p w:rsidR="00D65FB8" w:rsidRPr="00A162EA" w:rsidRDefault="00D65FB8" w:rsidP="00A162EA">
      <w:pPr>
        <w:pStyle w:val="Default"/>
        <w:jc w:val="both"/>
      </w:pPr>
    </w:p>
    <w:p w:rsidR="00D65FB8" w:rsidRPr="00A162EA" w:rsidRDefault="00D65FB8" w:rsidP="00A162EA">
      <w:pPr>
        <w:pStyle w:val="Default"/>
        <w:ind w:left="1440"/>
        <w:jc w:val="both"/>
      </w:pPr>
      <w:r w:rsidRPr="00A162EA">
        <w:t xml:space="preserve">(2) the completion of the process not later than certain dates, rather than HHSC to complete the process not later than certain dates. </w:t>
      </w:r>
    </w:p>
    <w:p w:rsidR="00D65FB8" w:rsidRPr="00A162EA" w:rsidRDefault="00D65FB8" w:rsidP="00A162EA">
      <w:pPr>
        <w:pStyle w:val="Default"/>
        <w:jc w:val="both"/>
      </w:pPr>
    </w:p>
    <w:p w:rsidR="00D65FB8" w:rsidRPr="00A162EA" w:rsidRDefault="00D65FB8" w:rsidP="00A162EA">
      <w:pPr>
        <w:pStyle w:val="Default"/>
        <w:ind w:left="720"/>
        <w:jc w:val="both"/>
      </w:pPr>
      <w:r w:rsidRPr="00A162EA">
        <w:t xml:space="preserve">(a-1) Requires HHSC, as part of the established IDR process, to contract with an appropriate disinterested person, rather than an appropriate disinterested person who is a nonprofit organization, to adjudicate disputes between an institution or facility licensed under Chapter 242 (Convalescent and Nursing Facilities and Related Institutions), Health and Safety Code, or a facility licensed under Chapter 247 (Assisted Living Facilities), Health and Safety Code, and HHSC concerning a statement of violations prepared by HHSC in connection with a survey conducted by HHSC of the institution or facility. Makes conforming changes. </w:t>
      </w:r>
    </w:p>
    <w:p w:rsidR="00D65FB8" w:rsidRPr="00A162EA" w:rsidRDefault="00D65FB8" w:rsidP="00A162EA">
      <w:pPr>
        <w:pStyle w:val="Default"/>
        <w:jc w:val="both"/>
      </w:pPr>
    </w:p>
    <w:p w:rsidR="00D65FB8" w:rsidRPr="00A162EA" w:rsidRDefault="00D65FB8" w:rsidP="00A162EA">
      <w:pPr>
        <w:pStyle w:val="Default"/>
        <w:ind w:left="720"/>
        <w:jc w:val="both"/>
      </w:pPr>
      <w:r w:rsidRPr="00A162EA">
        <w:t xml:space="preserve">(d) Requires that the rules adopted by the executive commissioner that relate to a dispute described by Section 247.051(a), Health and Safety Code, incorporate the requirements of Section 247.051 (Informal Dispute Resolution), Health and Safety Code. </w:t>
      </w:r>
    </w:p>
    <w:p w:rsidR="00D65FB8" w:rsidRPr="00A162EA" w:rsidRDefault="00D65FB8" w:rsidP="00A162EA">
      <w:pPr>
        <w:spacing w:after="0" w:line="240" w:lineRule="auto"/>
        <w:jc w:val="both"/>
        <w:rPr>
          <w:szCs w:val="24"/>
        </w:rPr>
      </w:pPr>
    </w:p>
    <w:p w:rsidR="00D65FB8" w:rsidRPr="00A162EA" w:rsidRDefault="00D65FB8" w:rsidP="00A162EA">
      <w:pPr>
        <w:spacing w:after="0" w:line="240" w:lineRule="auto"/>
        <w:jc w:val="both"/>
        <w:rPr>
          <w:szCs w:val="24"/>
        </w:rPr>
      </w:pPr>
      <w:r w:rsidRPr="00A162EA">
        <w:rPr>
          <w:szCs w:val="24"/>
        </w:rPr>
        <w:t>SECTION 3. Effective date: September 1, 2017.</w:t>
      </w:r>
    </w:p>
    <w:sectPr w:rsidR="00D65FB8" w:rsidRPr="00A162E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6FA" w:rsidRDefault="008776FA" w:rsidP="000F1DF9">
      <w:pPr>
        <w:spacing w:after="0" w:line="240" w:lineRule="auto"/>
      </w:pPr>
      <w:r>
        <w:separator/>
      </w:r>
    </w:p>
  </w:endnote>
  <w:endnote w:type="continuationSeparator" w:id="0">
    <w:p w:rsidR="008776FA" w:rsidRDefault="008776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76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5FB8">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5FB8">
                <w:rPr>
                  <w:sz w:val="20"/>
                  <w:szCs w:val="20"/>
                </w:rPr>
                <w:t>S.B. 924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5FB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76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5F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5FB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6FA" w:rsidRDefault="008776FA" w:rsidP="000F1DF9">
      <w:pPr>
        <w:spacing w:after="0" w:line="240" w:lineRule="auto"/>
      </w:pPr>
      <w:r>
        <w:separator/>
      </w:r>
    </w:p>
  </w:footnote>
  <w:footnote w:type="continuationSeparator" w:id="0">
    <w:p w:rsidR="008776FA" w:rsidRDefault="008776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76FA"/>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5FB8"/>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5FB8"/>
    <w:pPr>
      <w:spacing w:before="100" w:beforeAutospacing="1" w:after="100" w:afterAutospacing="1" w:line="240" w:lineRule="auto"/>
    </w:pPr>
    <w:rPr>
      <w:rFonts w:cs="Times New Roman"/>
      <w:szCs w:val="24"/>
    </w:rPr>
  </w:style>
  <w:style w:type="paragraph" w:customStyle="1" w:styleId="Default">
    <w:name w:val="Default"/>
    <w:rsid w:val="00D65F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5FB8"/>
    <w:pPr>
      <w:spacing w:before="100" w:beforeAutospacing="1" w:after="100" w:afterAutospacing="1" w:line="240" w:lineRule="auto"/>
    </w:pPr>
    <w:rPr>
      <w:rFonts w:cs="Times New Roman"/>
      <w:szCs w:val="24"/>
    </w:rPr>
  </w:style>
  <w:style w:type="paragraph" w:customStyle="1" w:styleId="Default">
    <w:name w:val="Default"/>
    <w:rsid w:val="00D65F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7216" w:rsidP="00B9721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C273C264B11465DBA77A4F0EA5AE317"/>
        <w:category>
          <w:name w:val="General"/>
          <w:gallery w:val="placeholder"/>
        </w:category>
        <w:types>
          <w:type w:val="bbPlcHdr"/>
        </w:types>
        <w:behaviors>
          <w:behavior w:val="content"/>
        </w:behaviors>
        <w:guid w:val="{D91048FF-04AC-4DF7-B3DD-2D2C5E640D34}"/>
      </w:docPartPr>
      <w:docPartBody>
        <w:p w:rsidR="00000000" w:rsidRDefault="00E37878"/>
      </w:docPartBody>
    </w:docPart>
    <w:docPart>
      <w:docPartPr>
        <w:name w:val="ABFAFD4817EA4087B43BC179C4BBA987"/>
        <w:category>
          <w:name w:val="General"/>
          <w:gallery w:val="placeholder"/>
        </w:category>
        <w:types>
          <w:type w:val="bbPlcHdr"/>
        </w:types>
        <w:behaviors>
          <w:behavior w:val="content"/>
        </w:behaviors>
        <w:guid w:val="{69EC29F4-4E02-41AB-8413-F79DE7E78641}"/>
      </w:docPartPr>
      <w:docPartBody>
        <w:p w:rsidR="00000000" w:rsidRDefault="00E37878"/>
      </w:docPartBody>
    </w:docPart>
    <w:docPart>
      <w:docPartPr>
        <w:name w:val="16B57987EC2942CBB06EE5447A0C5BDA"/>
        <w:category>
          <w:name w:val="General"/>
          <w:gallery w:val="placeholder"/>
        </w:category>
        <w:types>
          <w:type w:val="bbPlcHdr"/>
        </w:types>
        <w:behaviors>
          <w:behavior w:val="content"/>
        </w:behaviors>
        <w:guid w:val="{604F6174-FFC4-4B7E-A06A-BC6AA85C2D74}"/>
      </w:docPartPr>
      <w:docPartBody>
        <w:p w:rsidR="00000000" w:rsidRDefault="00E37878"/>
      </w:docPartBody>
    </w:docPart>
    <w:docPart>
      <w:docPartPr>
        <w:name w:val="D5D5E1F11481403CA038D0E1E2DEFA9D"/>
        <w:category>
          <w:name w:val="General"/>
          <w:gallery w:val="placeholder"/>
        </w:category>
        <w:types>
          <w:type w:val="bbPlcHdr"/>
        </w:types>
        <w:behaviors>
          <w:behavior w:val="content"/>
        </w:behaviors>
        <w:guid w:val="{CEFEC9B7-AD10-4FA0-A9BF-04DE06C7D4C5}"/>
      </w:docPartPr>
      <w:docPartBody>
        <w:p w:rsidR="00000000" w:rsidRDefault="00E37878"/>
      </w:docPartBody>
    </w:docPart>
    <w:docPart>
      <w:docPartPr>
        <w:name w:val="BF0AEF5372FD4FAF844A0243E83D515F"/>
        <w:category>
          <w:name w:val="General"/>
          <w:gallery w:val="placeholder"/>
        </w:category>
        <w:types>
          <w:type w:val="bbPlcHdr"/>
        </w:types>
        <w:behaviors>
          <w:behavior w:val="content"/>
        </w:behaviors>
        <w:guid w:val="{96A44D51-948E-43D5-BCAC-1A51CF71E856}"/>
      </w:docPartPr>
      <w:docPartBody>
        <w:p w:rsidR="00000000" w:rsidRDefault="00E37878"/>
      </w:docPartBody>
    </w:docPart>
    <w:docPart>
      <w:docPartPr>
        <w:name w:val="B059C0DFCB40476F8CFC101241A15241"/>
        <w:category>
          <w:name w:val="General"/>
          <w:gallery w:val="placeholder"/>
        </w:category>
        <w:types>
          <w:type w:val="bbPlcHdr"/>
        </w:types>
        <w:behaviors>
          <w:behavior w:val="content"/>
        </w:behaviors>
        <w:guid w:val="{AE0A768C-319C-4A8B-A906-EE909A70EC46}"/>
      </w:docPartPr>
      <w:docPartBody>
        <w:p w:rsidR="00000000" w:rsidRDefault="00E37878"/>
      </w:docPartBody>
    </w:docPart>
    <w:docPart>
      <w:docPartPr>
        <w:name w:val="7FF79CB419084C9EBB58B0B67900B2A3"/>
        <w:category>
          <w:name w:val="General"/>
          <w:gallery w:val="placeholder"/>
        </w:category>
        <w:types>
          <w:type w:val="bbPlcHdr"/>
        </w:types>
        <w:behaviors>
          <w:behavior w:val="content"/>
        </w:behaviors>
        <w:guid w:val="{84A50CAE-967D-4597-BC9E-299586AF3083}"/>
      </w:docPartPr>
      <w:docPartBody>
        <w:p w:rsidR="00000000" w:rsidRDefault="00E37878"/>
      </w:docPartBody>
    </w:docPart>
    <w:docPart>
      <w:docPartPr>
        <w:name w:val="E21EC69D5CFB493ABC1A1F048B8A6B41"/>
        <w:category>
          <w:name w:val="General"/>
          <w:gallery w:val="placeholder"/>
        </w:category>
        <w:types>
          <w:type w:val="bbPlcHdr"/>
        </w:types>
        <w:behaviors>
          <w:behavior w:val="content"/>
        </w:behaviors>
        <w:guid w:val="{79200FAE-33F4-4CCC-9D10-F2290760DA56}"/>
      </w:docPartPr>
      <w:docPartBody>
        <w:p w:rsidR="00000000" w:rsidRDefault="00E37878"/>
      </w:docPartBody>
    </w:docPart>
    <w:docPart>
      <w:docPartPr>
        <w:name w:val="8091464332064E92A7BCFB99A476FC2D"/>
        <w:category>
          <w:name w:val="General"/>
          <w:gallery w:val="placeholder"/>
        </w:category>
        <w:types>
          <w:type w:val="bbPlcHdr"/>
        </w:types>
        <w:behaviors>
          <w:behavior w:val="content"/>
        </w:behaviors>
        <w:guid w:val="{BDACBCB8-1F08-4FCE-94D7-98EAA68E9C10}"/>
      </w:docPartPr>
      <w:docPartBody>
        <w:p w:rsidR="00000000" w:rsidRDefault="00B97216" w:rsidP="00B97216">
          <w:pPr>
            <w:pStyle w:val="8091464332064E92A7BCFB99A476FC2D"/>
          </w:pPr>
          <w:r w:rsidRPr="00A30DD1">
            <w:rPr>
              <w:rStyle w:val="PlaceholderText"/>
            </w:rPr>
            <w:t>Click here to enter a date.</w:t>
          </w:r>
        </w:p>
      </w:docPartBody>
    </w:docPart>
    <w:docPart>
      <w:docPartPr>
        <w:name w:val="F346B80B8BB74946BDB12E99144C9D7E"/>
        <w:category>
          <w:name w:val="General"/>
          <w:gallery w:val="placeholder"/>
        </w:category>
        <w:types>
          <w:type w:val="bbPlcHdr"/>
        </w:types>
        <w:behaviors>
          <w:behavior w:val="content"/>
        </w:behaviors>
        <w:guid w:val="{FCEAED58-B8F7-4AB2-A0E1-D8FD8613E245}"/>
      </w:docPartPr>
      <w:docPartBody>
        <w:p w:rsidR="00000000" w:rsidRDefault="00E37878"/>
      </w:docPartBody>
    </w:docPart>
    <w:docPart>
      <w:docPartPr>
        <w:name w:val="67082FC1FC594DD386731B4767511FB0"/>
        <w:category>
          <w:name w:val="General"/>
          <w:gallery w:val="placeholder"/>
        </w:category>
        <w:types>
          <w:type w:val="bbPlcHdr"/>
        </w:types>
        <w:behaviors>
          <w:behavior w:val="content"/>
        </w:behaviors>
        <w:guid w:val="{8ACB7E2B-8C51-423C-96D5-A094772509FD}"/>
      </w:docPartPr>
      <w:docPartBody>
        <w:p w:rsidR="00000000" w:rsidRDefault="00E37878"/>
      </w:docPartBody>
    </w:docPart>
    <w:docPart>
      <w:docPartPr>
        <w:name w:val="CECF7F61542C46DA892A0DFCD213896A"/>
        <w:category>
          <w:name w:val="General"/>
          <w:gallery w:val="placeholder"/>
        </w:category>
        <w:types>
          <w:type w:val="bbPlcHdr"/>
        </w:types>
        <w:behaviors>
          <w:behavior w:val="content"/>
        </w:behaviors>
        <w:guid w:val="{A1F18284-46DB-471F-BD7D-BC97A9863EF9}"/>
      </w:docPartPr>
      <w:docPartBody>
        <w:p w:rsidR="00000000" w:rsidRDefault="00B97216" w:rsidP="00B97216">
          <w:pPr>
            <w:pStyle w:val="CECF7F61542C46DA892A0DFCD213896A"/>
          </w:pPr>
          <w:r>
            <w:rPr>
              <w:rFonts w:eastAsia="Times New Roman" w:cs="Times New Roman"/>
              <w:bCs/>
              <w:szCs w:val="24"/>
            </w:rPr>
            <w:t xml:space="preserve"> </w:t>
          </w:r>
        </w:p>
      </w:docPartBody>
    </w:docPart>
    <w:docPart>
      <w:docPartPr>
        <w:name w:val="09DF9A0CFD0F454C82C9AFF2747C7211"/>
        <w:category>
          <w:name w:val="General"/>
          <w:gallery w:val="placeholder"/>
        </w:category>
        <w:types>
          <w:type w:val="bbPlcHdr"/>
        </w:types>
        <w:behaviors>
          <w:behavior w:val="content"/>
        </w:behaviors>
        <w:guid w:val="{16AB02EA-828F-41EA-BABB-C559D246F10E}"/>
      </w:docPartPr>
      <w:docPartBody>
        <w:p w:rsidR="00000000" w:rsidRDefault="00E37878"/>
      </w:docPartBody>
    </w:docPart>
    <w:docPart>
      <w:docPartPr>
        <w:name w:val="DBFF79B3EDFA4E1297249FE3D89BB9D9"/>
        <w:category>
          <w:name w:val="General"/>
          <w:gallery w:val="placeholder"/>
        </w:category>
        <w:types>
          <w:type w:val="bbPlcHdr"/>
        </w:types>
        <w:behaviors>
          <w:behavior w:val="content"/>
        </w:behaviors>
        <w:guid w:val="{3C11F237-40E3-4344-8D26-63A5E8B7449C}"/>
      </w:docPartPr>
      <w:docPartBody>
        <w:p w:rsidR="00000000" w:rsidRDefault="00E378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7216"/>
    <w:rsid w:val="00C129E8"/>
    <w:rsid w:val="00C968BA"/>
    <w:rsid w:val="00D63E87"/>
    <w:rsid w:val="00D705C9"/>
    <w:rsid w:val="00E35A8C"/>
    <w:rsid w:val="00E3787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2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7216"/>
    <w:rPr>
      <w:rFonts w:ascii="Times New Roman" w:hAnsi="Times New Roman"/>
      <w:sz w:val="24"/>
    </w:rPr>
  </w:style>
  <w:style w:type="paragraph" w:customStyle="1" w:styleId="487D89B4F8B34DB4967D41FE18F7F88D7">
    <w:name w:val="487D89B4F8B34DB4967D41FE18F7F88D7"/>
    <w:rsid w:val="00B97216"/>
    <w:rPr>
      <w:rFonts w:ascii="Times New Roman" w:hAnsi="Times New Roman"/>
      <w:sz w:val="24"/>
    </w:rPr>
  </w:style>
  <w:style w:type="paragraph" w:customStyle="1" w:styleId="AE2570ED5D764CD7AF9686706F550F4620">
    <w:name w:val="AE2570ED5D764CD7AF9686706F550F4620"/>
    <w:rsid w:val="00B97216"/>
    <w:pPr>
      <w:tabs>
        <w:tab w:val="center" w:pos="4680"/>
        <w:tab w:val="right" w:pos="9360"/>
      </w:tabs>
      <w:spacing w:after="0" w:line="240" w:lineRule="auto"/>
    </w:pPr>
    <w:rPr>
      <w:rFonts w:ascii="Times New Roman" w:hAnsi="Times New Roman"/>
      <w:sz w:val="24"/>
    </w:rPr>
  </w:style>
  <w:style w:type="paragraph" w:customStyle="1" w:styleId="8091464332064E92A7BCFB99A476FC2D">
    <w:name w:val="8091464332064E92A7BCFB99A476FC2D"/>
    <w:rsid w:val="00B97216"/>
  </w:style>
  <w:style w:type="paragraph" w:customStyle="1" w:styleId="CECF7F61542C46DA892A0DFCD213896A">
    <w:name w:val="CECF7F61542C46DA892A0DFCD213896A"/>
    <w:rsid w:val="00B972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2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7216"/>
    <w:rPr>
      <w:rFonts w:ascii="Times New Roman" w:hAnsi="Times New Roman"/>
      <w:sz w:val="24"/>
    </w:rPr>
  </w:style>
  <w:style w:type="paragraph" w:customStyle="1" w:styleId="487D89B4F8B34DB4967D41FE18F7F88D7">
    <w:name w:val="487D89B4F8B34DB4967D41FE18F7F88D7"/>
    <w:rsid w:val="00B97216"/>
    <w:rPr>
      <w:rFonts w:ascii="Times New Roman" w:hAnsi="Times New Roman"/>
      <w:sz w:val="24"/>
    </w:rPr>
  </w:style>
  <w:style w:type="paragraph" w:customStyle="1" w:styleId="AE2570ED5D764CD7AF9686706F550F4620">
    <w:name w:val="AE2570ED5D764CD7AF9686706F550F4620"/>
    <w:rsid w:val="00B97216"/>
    <w:pPr>
      <w:tabs>
        <w:tab w:val="center" w:pos="4680"/>
        <w:tab w:val="right" w:pos="9360"/>
      </w:tabs>
      <w:spacing w:after="0" w:line="240" w:lineRule="auto"/>
    </w:pPr>
    <w:rPr>
      <w:rFonts w:ascii="Times New Roman" w:hAnsi="Times New Roman"/>
      <w:sz w:val="24"/>
    </w:rPr>
  </w:style>
  <w:style w:type="paragraph" w:customStyle="1" w:styleId="8091464332064E92A7BCFB99A476FC2D">
    <w:name w:val="8091464332064E92A7BCFB99A476FC2D"/>
    <w:rsid w:val="00B97216"/>
  </w:style>
  <w:style w:type="paragraph" w:customStyle="1" w:styleId="CECF7F61542C46DA892A0DFCD213896A">
    <w:name w:val="CECF7F61542C46DA892A0DFCD213896A"/>
    <w:rsid w:val="00B97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A34B34-2E98-4017-9978-D94BAD4D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883</Words>
  <Characters>5035</Characters>
  <Application>Microsoft Office Word</Application>
  <DocSecurity>0</DocSecurity>
  <Lines>41</Lines>
  <Paragraphs>11</Paragraphs>
  <ScaleCrop>false</ScaleCrop>
  <Company>Texas Legislative Council</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2017-06-06T13:24:00Z</cp:lastPrinted>
  <dcterms:created xsi:type="dcterms:W3CDTF">2015-05-29T14:24:00Z</dcterms:created>
  <dcterms:modified xsi:type="dcterms:W3CDTF">2017-06-06T13:24:00Z</dcterms:modified>
</cp:coreProperties>
</file>

<file path=docProps/custom.xml><?xml version="1.0" encoding="utf-8"?>
<op:Properties xmlns:vt="http://schemas.openxmlformats.org/officeDocument/2006/docPropsVTypes" xmlns:op="http://schemas.openxmlformats.org/officeDocument/2006/custom-properties"/>
</file>