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F2835" w:rsidTr="00345119">
        <w:tc>
          <w:tcPr>
            <w:tcW w:w="9576" w:type="dxa"/>
            <w:noWrap/>
          </w:tcPr>
          <w:p w:rsidR="008423E4" w:rsidRPr="0022177D" w:rsidRDefault="002C0A41" w:rsidP="00345119">
            <w:pPr>
              <w:pStyle w:val="Heading1"/>
            </w:pPr>
            <w:bookmarkStart w:id="0" w:name="_GoBack"/>
            <w:bookmarkEnd w:id="0"/>
            <w:r w:rsidRPr="00631897">
              <w:t>BILL ANALYSIS</w:t>
            </w:r>
          </w:p>
        </w:tc>
      </w:tr>
    </w:tbl>
    <w:p w:rsidR="008423E4" w:rsidRPr="0022177D" w:rsidRDefault="002C0A41" w:rsidP="008423E4">
      <w:pPr>
        <w:jc w:val="center"/>
      </w:pPr>
    </w:p>
    <w:p w:rsidR="008423E4" w:rsidRPr="00B31F0E" w:rsidRDefault="002C0A41" w:rsidP="008423E4"/>
    <w:p w:rsidR="008423E4" w:rsidRPr="00742794" w:rsidRDefault="002C0A41" w:rsidP="008423E4">
      <w:pPr>
        <w:tabs>
          <w:tab w:val="right" w:pos="9360"/>
        </w:tabs>
      </w:pPr>
    </w:p>
    <w:tbl>
      <w:tblPr>
        <w:tblW w:w="0" w:type="auto"/>
        <w:tblLayout w:type="fixed"/>
        <w:tblLook w:val="01E0" w:firstRow="1" w:lastRow="1" w:firstColumn="1" w:lastColumn="1" w:noHBand="0" w:noVBand="0"/>
      </w:tblPr>
      <w:tblGrid>
        <w:gridCol w:w="9576"/>
      </w:tblGrid>
      <w:tr w:rsidR="00EF2835" w:rsidTr="00345119">
        <w:tc>
          <w:tcPr>
            <w:tcW w:w="9576" w:type="dxa"/>
          </w:tcPr>
          <w:p w:rsidR="008423E4" w:rsidRPr="00861995" w:rsidRDefault="002C0A41" w:rsidP="00345119">
            <w:pPr>
              <w:jc w:val="right"/>
            </w:pPr>
            <w:r>
              <w:t>S.B. 1136</w:t>
            </w:r>
          </w:p>
        </w:tc>
      </w:tr>
      <w:tr w:rsidR="00EF2835" w:rsidTr="00345119">
        <w:tc>
          <w:tcPr>
            <w:tcW w:w="9576" w:type="dxa"/>
          </w:tcPr>
          <w:p w:rsidR="008423E4" w:rsidRPr="00861995" w:rsidRDefault="002C0A41" w:rsidP="00067BDD">
            <w:pPr>
              <w:jc w:val="right"/>
            </w:pPr>
            <w:r>
              <w:t xml:space="preserve">By: </w:t>
            </w:r>
            <w:r>
              <w:t>Hinojosa</w:t>
            </w:r>
          </w:p>
        </w:tc>
      </w:tr>
      <w:tr w:rsidR="00EF2835" w:rsidTr="00345119">
        <w:tc>
          <w:tcPr>
            <w:tcW w:w="9576" w:type="dxa"/>
          </w:tcPr>
          <w:p w:rsidR="008423E4" w:rsidRPr="00861995" w:rsidRDefault="002C0A41" w:rsidP="00345119">
            <w:pPr>
              <w:jc w:val="right"/>
            </w:pPr>
            <w:r>
              <w:t>Ways &amp; Means</w:t>
            </w:r>
          </w:p>
        </w:tc>
      </w:tr>
      <w:tr w:rsidR="00EF2835" w:rsidTr="00345119">
        <w:tc>
          <w:tcPr>
            <w:tcW w:w="9576" w:type="dxa"/>
          </w:tcPr>
          <w:p w:rsidR="008423E4" w:rsidRDefault="002C0A41" w:rsidP="00345119">
            <w:pPr>
              <w:jc w:val="right"/>
            </w:pPr>
            <w:r>
              <w:t>Committee Report (Unamended)</w:t>
            </w:r>
          </w:p>
        </w:tc>
      </w:tr>
    </w:tbl>
    <w:p w:rsidR="008423E4" w:rsidRDefault="002C0A41" w:rsidP="008423E4">
      <w:pPr>
        <w:tabs>
          <w:tab w:val="right" w:pos="9360"/>
        </w:tabs>
      </w:pPr>
    </w:p>
    <w:p w:rsidR="008423E4" w:rsidRDefault="002C0A41" w:rsidP="008423E4"/>
    <w:p w:rsidR="008423E4" w:rsidRDefault="002C0A41" w:rsidP="008423E4"/>
    <w:tbl>
      <w:tblPr>
        <w:tblW w:w="0" w:type="auto"/>
        <w:tblCellMar>
          <w:left w:w="115" w:type="dxa"/>
          <w:right w:w="115" w:type="dxa"/>
        </w:tblCellMar>
        <w:tblLook w:val="01E0" w:firstRow="1" w:lastRow="1" w:firstColumn="1" w:lastColumn="1" w:noHBand="0" w:noVBand="0"/>
      </w:tblPr>
      <w:tblGrid>
        <w:gridCol w:w="9582"/>
      </w:tblGrid>
      <w:tr w:rsidR="00EF2835" w:rsidTr="00F234A5">
        <w:tc>
          <w:tcPr>
            <w:tcW w:w="9582" w:type="dxa"/>
          </w:tcPr>
          <w:p w:rsidR="008423E4" w:rsidRPr="00A8133F" w:rsidRDefault="002C0A41" w:rsidP="00F85504">
            <w:pPr>
              <w:rPr>
                <w:b/>
              </w:rPr>
            </w:pPr>
            <w:r w:rsidRPr="009C1E9A">
              <w:rPr>
                <w:b/>
                <w:u w:val="single"/>
              </w:rPr>
              <w:t>BACKGROUND AND PURPOSE</w:t>
            </w:r>
            <w:r>
              <w:rPr>
                <w:b/>
              </w:rPr>
              <w:t xml:space="preserve"> </w:t>
            </w:r>
          </w:p>
          <w:p w:rsidR="008423E4" w:rsidRDefault="002C0A41" w:rsidP="00F85504"/>
          <w:p w:rsidR="008423E4" w:rsidRDefault="002C0A41" w:rsidP="00F85504">
            <w:pPr>
              <w:pStyle w:val="Header"/>
              <w:jc w:val="both"/>
            </w:pPr>
            <w:r>
              <w:t xml:space="preserve">Interested parties contend that certain </w:t>
            </w:r>
            <w:r>
              <w:t>municipalities</w:t>
            </w:r>
            <w:r>
              <w:t>, such as t</w:t>
            </w:r>
            <w:r>
              <w:t xml:space="preserve">he City of Edinburg, </w:t>
            </w:r>
            <w:r>
              <w:t xml:space="preserve">are in need of additional sources of revenue to pay for certain sporting-related facilities. </w:t>
            </w:r>
            <w:r>
              <w:t>S.B. 1136</w:t>
            </w:r>
            <w:r>
              <w:t xml:space="preserve"> </w:t>
            </w:r>
            <w:r>
              <w:t>seeks to provide this additional revenue stream</w:t>
            </w:r>
            <w:r>
              <w:t xml:space="preserve"> </w:t>
            </w:r>
            <w:r>
              <w:t xml:space="preserve">by authorizing certain municipalities </w:t>
            </w:r>
            <w:r>
              <w:t>to use</w:t>
            </w:r>
            <w:r>
              <w:t xml:space="preserve"> municipal hotel occupancy tax </w:t>
            </w:r>
            <w:r>
              <w:t>revenue for such purposes.</w:t>
            </w:r>
          </w:p>
          <w:p w:rsidR="008423E4" w:rsidRPr="00E26B13" w:rsidRDefault="002C0A41" w:rsidP="00F85504">
            <w:pPr>
              <w:rPr>
                <w:b/>
              </w:rPr>
            </w:pPr>
          </w:p>
        </w:tc>
      </w:tr>
      <w:tr w:rsidR="00EF2835" w:rsidTr="00F234A5">
        <w:tc>
          <w:tcPr>
            <w:tcW w:w="9582" w:type="dxa"/>
          </w:tcPr>
          <w:p w:rsidR="0017725B" w:rsidRDefault="002C0A41" w:rsidP="00F85504">
            <w:pPr>
              <w:rPr>
                <w:b/>
                <w:u w:val="single"/>
              </w:rPr>
            </w:pPr>
            <w:r>
              <w:rPr>
                <w:b/>
                <w:u w:val="single"/>
              </w:rPr>
              <w:t>C</w:t>
            </w:r>
            <w:r>
              <w:rPr>
                <w:b/>
                <w:u w:val="single"/>
              </w:rPr>
              <w:t>RIMINAL JUSTICE IMPACT</w:t>
            </w:r>
          </w:p>
          <w:p w:rsidR="0017725B" w:rsidRDefault="002C0A41" w:rsidP="00F85504">
            <w:pPr>
              <w:rPr>
                <w:b/>
                <w:u w:val="single"/>
              </w:rPr>
            </w:pPr>
          </w:p>
          <w:p w:rsidR="00ED0EA8" w:rsidRPr="00ED0EA8" w:rsidRDefault="002C0A41" w:rsidP="00F85504">
            <w:pPr>
              <w:jc w:val="both"/>
            </w:pPr>
            <w:r>
              <w:t>It is the committee's opinion that this bill does not expressly create a criminal offense, increase the punishment for an existing criminal offense or category of offenses, or change the eligibility of a person for community supervi</w:t>
            </w:r>
            <w:r>
              <w:t>sion, parole, or mandatory supervision.</w:t>
            </w:r>
          </w:p>
          <w:p w:rsidR="0017725B" w:rsidRPr="0017725B" w:rsidRDefault="002C0A41" w:rsidP="00F85504">
            <w:pPr>
              <w:rPr>
                <w:b/>
                <w:u w:val="single"/>
              </w:rPr>
            </w:pPr>
          </w:p>
        </w:tc>
      </w:tr>
      <w:tr w:rsidR="00EF2835" w:rsidTr="00F234A5">
        <w:tc>
          <w:tcPr>
            <w:tcW w:w="9582" w:type="dxa"/>
          </w:tcPr>
          <w:p w:rsidR="008423E4" w:rsidRPr="00A8133F" w:rsidRDefault="002C0A41" w:rsidP="00F85504">
            <w:pPr>
              <w:rPr>
                <w:b/>
              </w:rPr>
            </w:pPr>
            <w:r w:rsidRPr="009C1E9A">
              <w:rPr>
                <w:b/>
                <w:u w:val="single"/>
              </w:rPr>
              <w:t>RULEMAKING AUTHORITY</w:t>
            </w:r>
            <w:r>
              <w:rPr>
                <w:b/>
              </w:rPr>
              <w:t xml:space="preserve"> </w:t>
            </w:r>
          </w:p>
          <w:p w:rsidR="008423E4" w:rsidRDefault="002C0A41" w:rsidP="00F85504"/>
          <w:p w:rsidR="00ED0EA8" w:rsidRDefault="002C0A41" w:rsidP="00F8550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C0A41" w:rsidP="00F85504">
            <w:pPr>
              <w:rPr>
                <w:b/>
              </w:rPr>
            </w:pPr>
          </w:p>
        </w:tc>
      </w:tr>
      <w:tr w:rsidR="00EF2835" w:rsidTr="00F234A5">
        <w:tc>
          <w:tcPr>
            <w:tcW w:w="9582" w:type="dxa"/>
          </w:tcPr>
          <w:p w:rsidR="008423E4" w:rsidRPr="00A8133F" w:rsidRDefault="002C0A41" w:rsidP="00F85504">
            <w:pPr>
              <w:rPr>
                <w:b/>
              </w:rPr>
            </w:pPr>
            <w:r w:rsidRPr="009C1E9A">
              <w:rPr>
                <w:b/>
                <w:u w:val="single"/>
              </w:rPr>
              <w:t>ANALYSIS</w:t>
            </w:r>
            <w:r>
              <w:rPr>
                <w:b/>
              </w:rPr>
              <w:t xml:space="preserve"> </w:t>
            </w:r>
          </w:p>
          <w:p w:rsidR="008423E4" w:rsidRDefault="002C0A41" w:rsidP="00F85504"/>
          <w:p w:rsidR="000F09BF" w:rsidRDefault="002C0A41" w:rsidP="00F85504">
            <w:pPr>
              <w:pStyle w:val="Header"/>
              <w:tabs>
                <w:tab w:val="clear" w:pos="4320"/>
                <w:tab w:val="clear" w:pos="8640"/>
              </w:tabs>
              <w:jc w:val="both"/>
            </w:pPr>
            <w:r>
              <w:t>S.B. 1136</w:t>
            </w:r>
            <w:r>
              <w:t xml:space="preserve"> amends the Tax Code to authorize a municipality that is </w:t>
            </w:r>
            <w:r>
              <w:t xml:space="preserve">located on </w:t>
            </w:r>
            <w:r>
              <w:t>the Texas</w:t>
            </w:r>
            <w:r>
              <w:noBreakHyphen/>
            </w:r>
            <w:r>
              <w:t>Mexico border, has a population of 500,000 or more, and is adjacent to two or more counties each of which has a population of 50,000 or more to use</w:t>
            </w:r>
            <w:r>
              <w:t xml:space="preserve"> revenue derived from the</w:t>
            </w:r>
            <w:r>
              <w:t xml:space="preserve"> </w:t>
            </w:r>
            <w:r>
              <w:t>munic</w:t>
            </w:r>
            <w:r>
              <w:t xml:space="preserve">ipal </w:t>
            </w:r>
            <w:r>
              <w:t xml:space="preserve">hotel occupancy tax </w:t>
            </w:r>
            <w:r>
              <w:t>to</w:t>
            </w:r>
            <w:r>
              <w:t xml:space="preserve"> construct</w:t>
            </w:r>
            <w:r>
              <w:t>,</w:t>
            </w:r>
            <w:r>
              <w:t xml:space="preserve"> maintain, or expand a sporting-related facility or sporting-related field on property owned by the municipality </w:t>
            </w:r>
            <w:r>
              <w:t xml:space="preserve">provided </w:t>
            </w:r>
            <w:r>
              <w:t>the municipality's sports facilities and fields have been used</w:t>
            </w:r>
            <w:r>
              <w:t xml:space="preserve"> </w:t>
            </w:r>
            <w:r>
              <w:t xml:space="preserve">a combined total of more than 10 </w:t>
            </w:r>
            <w:r>
              <w:t>times for district, state, regional, or national sports tournaments</w:t>
            </w:r>
            <w:r>
              <w:t>, games, or events</w:t>
            </w:r>
            <w:r>
              <w:t xml:space="preserve"> in the preceding calendar year</w:t>
            </w:r>
            <w:r>
              <w:t xml:space="preserve">. </w:t>
            </w:r>
            <w:r>
              <w:t xml:space="preserve">The bill requires </w:t>
            </w:r>
            <w:r>
              <w:t xml:space="preserve">such a </w:t>
            </w:r>
            <w:r>
              <w:t xml:space="preserve">municipality </w:t>
            </w:r>
            <w:r>
              <w:t xml:space="preserve">that uses the hotel </w:t>
            </w:r>
            <w:r>
              <w:t xml:space="preserve">tax revenue </w:t>
            </w:r>
            <w:r>
              <w:t xml:space="preserve">for </w:t>
            </w:r>
            <w:r>
              <w:t>s</w:t>
            </w:r>
            <w:r>
              <w:t xml:space="preserve">uch </w:t>
            </w:r>
            <w:r>
              <w:t xml:space="preserve">a </w:t>
            </w:r>
            <w:r>
              <w:t>purpose</w:t>
            </w:r>
            <w:r>
              <w:t xml:space="preserve"> to </w:t>
            </w:r>
            <w:r>
              <w:t>determine the amount of hotel tax revenue gene</w:t>
            </w:r>
            <w:r>
              <w:t>rated for the municipality by hotel activity attributable to the sports tournaments, games, and events held on the newly constructed, enhanced, or upgraded facilities or fields for 10 years after the date the construction, enhancements, or upgrades are com</w:t>
            </w:r>
            <w:r>
              <w:t>pleted</w:t>
            </w:r>
            <w:r>
              <w:t>,</w:t>
            </w:r>
            <w:r>
              <w:t xml:space="preserve"> prohibits the municipality from spending </w:t>
            </w:r>
            <w:r>
              <w:t>the</w:t>
            </w:r>
            <w:r>
              <w:t xml:space="preserve"> </w:t>
            </w:r>
            <w:r>
              <w:t xml:space="preserve">hotel </w:t>
            </w:r>
            <w:r>
              <w:t>tax revenue for the construction, enhancement, or upgrading of the facilities or fields in a total amount that exceeds the amount of area hotel revenue attributable to the construction, enhancement</w:t>
            </w:r>
            <w:r>
              <w:t>s, or upgrades</w:t>
            </w:r>
            <w:r>
              <w:t>;</w:t>
            </w:r>
            <w:r>
              <w:t xml:space="preserve"> </w:t>
            </w:r>
            <w:r>
              <w:t>and</w:t>
            </w:r>
            <w:r>
              <w:t xml:space="preserve"> requires </w:t>
            </w:r>
            <w:r>
              <w:t>the</w:t>
            </w:r>
            <w:r>
              <w:t xml:space="preserve"> municipal</w:t>
            </w:r>
            <w:r>
              <w:t>i</w:t>
            </w:r>
            <w:r>
              <w:t>ty</w:t>
            </w:r>
            <w:r>
              <w:t xml:space="preserve"> to</w:t>
            </w:r>
            <w:r w:rsidRPr="001A4566">
              <w:t xml:space="preserve"> reimburse from the municipality's general fund any expenditure in excess of the amount of area hotel revenue attributable to the construction, enhancements, or upgrades to the municipality's hotel occupancy </w:t>
            </w:r>
            <w:r w:rsidRPr="001A4566">
              <w:t>tax revenue fund.</w:t>
            </w:r>
          </w:p>
          <w:p w:rsidR="00E92FB7" w:rsidRDefault="002C0A41" w:rsidP="00F85504">
            <w:pPr>
              <w:pStyle w:val="Header"/>
              <w:tabs>
                <w:tab w:val="clear" w:pos="4320"/>
                <w:tab w:val="clear" w:pos="8640"/>
              </w:tabs>
              <w:jc w:val="both"/>
            </w:pPr>
          </w:p>
          <w:p w:rsidR="00E92FB7" w:rsidRDefault="002C0A41" w:rsidP="00F85504">
            <w:pPr>
              <w:pStyle w:val="Header"/>
              <w:tabs>
                <w:tab w:val="clear" w:pos="4320"/>
                <w:tab w:val="clear" w:pos="8640"/>
              </w:tabs>
              <w:jc w:val="both"/>
            </w:pPr>
            <w:r>
              <w:t>S.B. 1136</w:t>
            </w:r>
            <w:r>
              <w:t xml:space="preserve"> prohibits </w:t>
            </w:r>
            <w:r>
              <w:t xml:space="preserve">a </w:t>
            </w:r>
            <w:r>
              <w:t>m</w:t>
            </w:r>
            <w:r>
              <w:t xml:space="preserve">unicipality </w:t>
            </w:r>
            <w:r>
              <w:t xml:space="preserve">using hotel </w:t>
            </w:r>
            <w:r>
              <w:t xml:space="preserve">occupancy </w:t>
            </w:r>
            <w:r>
              <w:t>tax revenue for certain sporting</w:t>
            </w:r>
            <w:r>
              <w:noBreakHyphen/>
            </w:r>
            <w:r>
              <w:t xml:space="preserve">related facilities </w:t>
            </w:r>
            <w:r>
              <w:t xml:space="preserve">under the bill's provisions </w:t>
            </w:r>
            <w:r>
              <w:t xml:space="preserve">from reducing the percentage of revenue from </w:t>
            </w:r>
            <w:r>
              <w:t>that</w:t>
            </w:r>
            <w:r>
              <w:t xml:space="preserve"> tax </w:t>
            </w:r>
            <w:r>
              <w:t xml:space="preserve">that is </w:t>
            </w:r>
            <w:r>
              <w:t xml:space="preserve">allocated for </w:t>
            </w:r>
            <w:r w:rsidRPr="00C35E7B">
              <w:t xml:space="preserve">advertising and </w:t>
            </w:r>
            <w:r w:rsidRPr="00C35E7B">
              <w:t>conducting solicitations and promotional programs to attract tourists and convention delegates or registrants to the municipality or its vicinity</w:t>
            </w:r>
            <w:r>
              <w:t xml:space="preserve"> to a percentage that is less than the average percentage of revenue allocated by the municipality for that pur</w:t>
            </w:r>
            <w:r>
              <w:t xml:space="preserve">pose during the 36-month period preceding the date </w:t>
            </w:r>
            <w:r>
              <w:t>the</w:t>
            </w:r>
            <w:r>
              <w:t xml:space="preserve"> municipality begins using the revenue for </w:t>
            </w:r>
            <w:r>
              <w:t>such a purpose</w:t>
            </w:r>
            <w:r>
              <w:t>.</w:t>
            </w:r>
          </w:p>
          <w:p w:rsidR="008423E4" w:rsidRPr="00835628" w:rsidRDefault="002C0A41" w:rsidP="00F85504">
            <w:pPr>
              <w:rPr>
                <w:b/>
              </w:rPr>
            </w:pPr>
          </w:p>
        </w:tc>
      </w:tr>
      <w:tr w:rsidR="00EF2835" w:rsidTr="00F234A5">
        <w:tc>
          <w:tcPr>
            <w:tcW w:w="9582" w:type="dxa"/>
          </w:tcPr>
          <w:p w:rsidR="008423E4" w:rsidRPr="00A8133F" w:rsidRDefault="002C0A41" w:rsidP="00F85504">
            <w:pPr>
              <w:rPr>
                <w:b/>
              </w:rPr>
            </w:pPr>
            <w:r w:rsidRPr="009C1E9A">
              <w:rPr>
                <w:b/>
                <w:u w:val="single"/>
              </w:rPr>
              <w:lastRenderedPageBreak/>
              <w:t>EFFECTIVE DATE</w:t>
            </w:r>
            <w:r>
              <w:rPr>
                <w:b/>
              </w:rPr>
              <w:t xml:space="preserve"> </w:t>
            </w:r>
          </w:p>
          <w:p w:rsidR="008423E4" w:rsidRDefault="002C0A41" w:rsidP="00F85504"/>
          <w:p w:rsidR="008423E4" w:rsidRPr="003624F2" w:rsidRDefault="002C0A41" w:rsidP="00F85504">
            <w:pPr>
              <w:pStyle w:val="Header"/>
              <w:tabs>
                <w:tab w:val="clear" w:pos="4320"/>
                <w:tab w:val="clear" w:pos="8640"/>
              </w:tabs>
              <w:jc w:val="both"/>
            </w:pPr>
            <w:r>
              <w:t xml:space="preserve">On passage, or, if the bill does not receive the necessary vote, </w:t>
            </w:r>
            <w:r>
              <w:t>September 1, 2017.</w:t>
            </w:r>
          </w:p>
          <w:p w:rsidR="008423E4" w:rsidRPr="00233FDB" w:rsidRDefault="002C0A41" w:rsidP="00F85504">
            <w:pPr>
              <w:rPr>
                <w:b/>
              </w:rPr>
            </w:pPr>
          </w:p>
        </w:tc>
      </w:tr>
    </w:tbl>
    <w:p w:rsidR="008423E4" w:rsidRPr="00BE0E75" w:rsidRDefault="002C0A41" w:rsidP="008423E4">
      <w:pPr>
        <w:spacing w:line="480" w:lineRule="auto"/>
        <w:jc w:val="both"/>
        <w:rPr>
          <w:rFonts w:ascii="Arial" w:hAnsi="Arial"/>
          <w:sz w:val="16"/>
          <w:szCs w:val="16"/>
        </w:rPr>
      </w:pPr>
    </w:p>
    <w:p w:rsidR="004108C3" w:rsidRPr="008423E4" w:rsidRDefault="002C0A4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0A41">
      <w:r>
        <w:separator/>
      </w:r>
    </w:p>
  </w:endnote>
  <w:endnote w:type="continuationSeparator" w:id="0">
    <w:p w:rsidR="00000000" w:rsidRDefault="002C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F2835" w:rsidTr="009C1E9A">
      <w:trPr>
        <w:cantSplit/>
      </w:trPr>
      <w:tc>
        <w:tcPr>
          <w:tcW w:w="0" w:type="pct"/>
        </w:tcPr>
        <w:p w:rsidR="00137D90" w:rsidRDefault="002C0A41" w:rsidP="009C1E9A">
          <w:pPr>
            <w:pStyle w:val="Footer"/>
            <w:tabs>
              <w:tab w:val="clear" w:pos="8640"/>
              <w:tab w:val="right" w:pos="9360"/>
            </w:tabs>
          </w:pPr>
        </w:p>
      </w:tc>
      <w:tc>
        <w:tcPr>
          <w:tcW w:w="2395" w:type="pct"/>
        </w:tcPr>
        <w:p w:rsidR="00137D90" w:rsidRDefault="002C0A41" w:rsidP="009C1E9A">
          <w:pPr>
            <w:pStyle w:val="Footer"/>
            <w:tabs>
              <w:tab w:val="clear" w:pos="8640"/>
              <w:tab w:val="right" w:pos="9360"/>
            </w:tabs>
          </w:pPr>
        </w:p>
        <w:p w:rsidR="001A4310" w:rsidRDefault="002C0A41" w:rsidP="009C1E9A">
          <w:pPr>
            <w:pStyle w:val="Footer"/>
            <w:tabs>
              <w:tab w:val="clear" w:pos="8640"/>
              <w:tab w:val="right" w:pos="9360"/>
            </w:tabs>
          </w:pPr>
        </w:p>
        <w:p w:rsidR="00137D90" w:rsidRDefault="002C0A41" w:rsidP="009C1E9A">
          <w:pPr>
            <w:pStyle w:val="Footer"/>
            <w:tabs>
              <w:tab w:val="clear" w:pos="8640"/>
              <w:tab w:val="right" w:pos="9360"/>
            </w:tabs>
          </w:pPr>
        </w:p>
      </w:tc>
      <w:tc>
        <w:tcPr>
          <w:tcW w:w="2453" w:type="pct"/>
        </w:tcPr>
        <w:p w:rsidR="00137D90" w:rsidRDefault="002C0A41" w:rsidP="009C1E9A">
          <w:pPr>
            <w:pStyle w:val="Footer"/>
            <w:tabs>
              <w:tab w:val="clear" w:pos="8640"/>
              <w:tab w:val="right" w:pos="9360"/>
            </w:tabs>
            <w:jc w:val="right"/>
          </w:pPr>
        </w:p>
      </w:tc>
    </w:tr>
    <w:tr w:rsidR="00EF2835" w:rsidTr="009C1E9A">
      <w:trPr>
        <w:cantSplit/>
      </w:trPr>
      <w:tc>
        <w:tcPr>
          <w:tcW w:w="0" w:type="pct"/>
        </w:tcPr>
        <w:p w:rsidR="00EC379B" w:rsidRDefault="002C0A41" w:rsidP="009C1E9A">
          <w:pPr>
            <w:pStyle w:val="Footer"/>
            <w:tabs>
              <w:tab w:val="clear" w:pos="8640"/>
              <w:tab w:val="right" w:pos="9360"/>
            </w:tabs>
          </w:pPr>
        </w:p>
      </w:tc>
      <w:tc>
        <w:tcPr>
          <w:tcW w:w="2395" w:type="pct"/>
        </w:tcPr>
        <w:p w:rsidR="00EC379B" w:rsidRPr="009C1E9A" w:rsidRDefault="002C0A41" w:rsidP="009C1E9A">
          <w:pPr>
            <w:pStyle w:val="Footer"/>
            <w:tabs>
              <w:tab w:val="clear" w:pos="8640"/>
              <w:tab w:val="right" w:pos="9360"/>
            </w:tabs>
            <w:rPr>
              <w:rFonts w:ascii="Shruti" w:hAnsi="Shruti"/>
              <w:sz w:val="22"/>
            </w:rPr>
          </w:pPr>
          <w:r>
            <w:rPr>
              <w:rFonts w:ascii="Shruti" w:hAnsi="Shruti"/>
              <w:sz w:val="22"/>
            </w:rPr>
            <w:t>85R 28424</w:t>
          </w:r>
        </w:p>
      </w:tc>
      <w:tc>
        <w:tcPr>
          <w:tcW w:w="2453" w:type="pct"/>
        </w:tcPr>
        <w:p w:rsidR="00EC379B" w:rsidRDefault="002C0A41" w:rsidP="009C1E9A">
          <w:pPr>
            <w:pStyle w:val="Footer"/>
            <w:tabs>
              <w:tab w:val="clear" w:pos="8640"/>
              <w:tab w:val="right" w:pos="9360"/>
            </w:tabs>
            <w:jc w:val="right"/>
          </w:pPr>
          <w:r>
            <w:fldChar w:fldCharType="begin"/>
          </w:r>
          <w:r>
            <w:instrText xml:space="preserve"> DOCPROPERTY  OTID  \* MERGEFORMAT </w:instrText>
          </w:r>
          <w:r>
            <w:fldChar w:fldCharType="separate"/>
          </w:r>
          <w:r>
            <w:t>17.125.148</w:t>
          </w:r>
          <w:r>
            <w:fldChar w:fldCharType="end"/>
          </w:r>
        </w:p>
      </w:tc>
    </w:tr>
    <w:tr w:rsidR="00EF2835" w:rsidTr="009C1E9A">
      <w:trPr>
        <w:cantSplit/>
      </w:trPr>
      <w:tc>
        <w:tcPr>
          <w:tcW w:w="0" w:type="pct"/>
        </w:tcPr>
        <w:p w:rsidR="00EC379B" w:rsidRDefault="002C0A41" w:rsidP="009C1E9A">
          <w:pPr>
            <w:pStyle w:val="Footer"/>
            <w:tabs>
              <w:tab w:val="clear" w:pos="4320"/>
              <w:tab w:val="clear" w:pos="8640"/>
              <w:tab w:val="left" w:pos="2865"/>
            </w:tabs>
          </w:pPr>
        </w:p>
      </w:tc>
      <w:tc>
        <w:tcPr>
          <w:tcW w:w="2395" w:type="pct"/>
        </w:tcPr>
        <w:p w:rsidR="00EC379B" w:rsidRPr="009C1E9A" w:rsidRDefault="002C0A41" w:rsidP="009C1E9A">
          <w:pPr>
            <w:pStyle w:val="Footer"/>
            <w:tabs>
              <w:tab w:val="clear" w:pos="4320"/>
              <w:tab w:val="clear" w:pos="8640"/>
              <w:tab w:val="left" w:pos="2865"/>
            </w:tabs>
            <w:rPr>
              <w:rFonts w:ascii="Shruti" w:hAnsi="Shruti"/>
              <w:sz w:val="22"/>
            </w:rPr>
          </w:pPr>
        </w:p>
      </w:tc>
      <w:tc>
        <w:tcPr>
          <w:tcW w:w="2453" w:type="pct"/>
        </w:tcPr>
        <w:p w:rsidR="00EC379B" w:rsidRDefault="002C0A41" w:rsidP="006D504F">
          <w:pPr>
            <w:pStyle w:val="Footer"/>
            <w:rPr>
              <w:rStyle w:val="PageNumber"/>
            </w:rPr>
          </w:pPr>
        </w:p>
        <w:p w:rsidR="00EC379B" w:rsidRDefault="002C0A41" w:rsidP="009C1E9A">
          <w:pPr>
            <w:pStyle w:val="Footer"/>
            <w:tabs>
              <w:tab w:val="clear" w:pos="8640"/>
              <w:tab w:val="right" w:pos="9360"/>
            </w:tabs>
            <w:jc w:val="right"/>
          </w:pPr>
        </w:p>
      </w:tc>
    </w:tr>
    <w:tr w:rsidR="00EF2835" w:rsidTr="009C1E9A">
      <w:trPr>
        <w:cantSplit/>
        <w:trHeight w:val="323"/>
      </w:trPr>
      <w:tc>
        <w:tcPr>
          <w:tcW w:w="0" w:type="pct"/>
          <w:gridSpan w:val="3"/>
        </w:tcPr>
        <w:p w:rsidR="00EC379B" w:rsidRDefault="002C0A4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C0A41" w:rsidP="009C1E9A">
          <w:pPr>
            <w:pStyle w:val="Footer"/>
            <w:tabs>
              <w:tab w:val="clear" w:pos="8640"/>
              <w:tab w:val="right" w:pos="9360"/>
            </w:tabs>
            <w:jc w:val="center"/>
          </w:pPr>
        </w:p>
      </w:tc>
    </w:tr>
  </w:tbl>
  <w:p w:rsidR="00EC379B" w:rsidRPr="00FF6F72" w:rsidRDefault="002C0A4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0A41">
      <w:r>
        <w:separator/>
      </w:r>
    </w:p>
  </w:footnote>
  <w:footnote w:type="continuationSeparator" w:id="0">
    <w:p w:rsidR="00000000" w:rsidRDefault="002C0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35"/>
    <w:rsid w:val="002C0A41"/>
    <w:rsid w:val="00EF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6B83"/>
    <w:rPr>
      <w:sz w:val="16"/>
      <w:szCs w:val="16"/>
    </w:rPr>
  </w:style>
  <w:style w:type="paragraph" w:styleId="CommentText">
    <w:name w:val="annotation text"/>
    <w:basedOn w:val="Normal"/>
    <w:link w:val="CommentTextChar"/>
    <w:rsid w:val="00396B83"/>
    <w:rPr>
      <w:sz w:val="20"/>
      <w:szCs w:val="20"/>
    </w:rPr>
  </w:style>
  <w:style w:type="character" w:customStyle="1" w:styleId="CommentTextChar">
    <w:name w:val="Comment Text Char"/>
    <w:basedOn w:val="DefaultParagraphFont"/>
    <w:link w:val="CommentText"/>
    <w:rsid w:val="00396B83"/>
  </w:style>
  <w:style w:type="paragraph" w:styleId="CommentSubject">
    <w:name w:val="annotation subject"/>
    <w:basedOn w:val="CommentText"/>
    <w:next w:val="CommentText"/>
    <w:link w:val="CommentSubjectChar"/>
    <w:rsid w:val="00396B83"/>
    <w:rPr>
      <w:b/>
      <w:bCs/>
    </w:rPr>
  </w:style>
  <w:style w:type="character" w:customStyle="1" w:styleId="CommentSubjectChar">
    <w:name w:val="Comment Subject Char"/>
    <w:basedOn w:val="CommentTextChar"/>
    <w:link w:val="CommentSubject"/>
    <w:rsid w:val="00396B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6B83"/>
    <w:rPr>
      <w:sz w:val="16"/>
      <w:szCs w:val="16"/>
    </w:rPr>
  </w:style>
  <w:style w:type="paragraph" w:styleId="CommentText">
    <w:name w:val="annotation text"/>
    <w:basedOn w:val="Normal"/>
    <w:link w:val="CommentTextChar"/>
    <w:rsid w:val="00396B83"/>
    <w:rPr>
      <w:sz w:val="20"/>
      <w:szCs w:val="20"/>
    </w:rPr>
  </w:style>
  <w:style w:type="character" w:customStyle="1" w:styleId="CommentTextChar">
    <w:name w:val="Comment Text Char"/>
    <w:basedOn w:val="DefaultParagraphFont"/>
    <w:link w:val="CommentText"/>
    <w:rsid w:val="00396B83"/>
  </w:style>
  <w:style w:type="paragraph" w:styleId="CommentSubject">
    <w:name w:val="annotation subject"/>
    <w:basedOn w:val="CommentText"/>
    <w:next w:val="CommentText"/>
    <w:link w:val="CommentSubjectChar"/>
    <w:rsid w:val="00396B83"/>
    <w:rPr>
      <w:b/>
      <w:bCs/>
    </w:rPr>
  </w:style>
  <w:style w:type="character" w:customStyle="1" w:styleId="CommentSubjectChar">
    <w:name w:val="Comment Subject Char"/>
    <w:basedOn w:val="CommentTextChar"/>
    <w:link w:val="CommentSubject"/>
    <w:rsid w:val="00396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2707</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BA - SB01136 (Committee Report (Unamended))</vt:lpstr>
    </vt:vector>
  </TitlesOfParts>
  <Company>State of Texas</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28424</dc:subject>
  <dc:creator>State of Texas</dc:creator>
  <dc:description>SB 1136 by Hinojosa-(H)Ways &amp; Means</dc:description>
  <cp:lastModifiedBy>Alexander McMillan</cp:lastModifiedBy>
  <cp:revision>2</cp:revision>
  <cp:lastPrinted>2017-05-05T15:07:00Z</cp:lastPrinted>
  <dcterms:created xsi:type="dcterms:W3CDTF">2017-05-09T01:05:00Z</dcterms:created>
  <dcterms:modified xsi:type="dcterms:W3CDTF">2017-05-09T01:05:00Z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17.125.148</vt:lpwstr>
  </property>
</Properties>
</file>