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CE" w:rsidRDefault="00D146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161F52D2B14963AF81B3426AC26323"/>
          </w:placeholder>
        </w:sdtPr>
        <w:sdtContent>
          <w:r w:rsidRPr="005C2A78">
            <w:rPr>
              <w:rFonts w:cs="Times New Roman"/>
              <w:b/>
              <w:szCs w:val="24"/>
              <w:u w:val="single"/>
            </w:rPr>
            <w:t>BILL ANALYSIS</w:t>
          </w:r>
        </w:sdtContent>
      </w:sdt>
    </w:p>
    <w:p w:rsidR="00D146CE" w:rsidRPr="00585C31" w:rsidRDefault="00D146CE" w:rsidP="000F1DF9">
      <w:pPr>
        <w:spacing w:after="0" w:line="240" w:lineRule="auto"/>
        <w:rPr>
          <w:rFonts w:cs="Times New Roman"/>
          <w:szCs w:val="24"/>
        </w:rPr>
      </w:pPr>
    </w:p>
    <w:p w:rsidR="00D146CE" w:rsidRPr="00585C31" w:rsidRDefault="00D146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46CE" w:rsidTr="000F1DF9">
        <w:tc>
          <w:tcPr>
            <w:tcW w:w="2718" w:type="dxa"/>
          </w:tcPr>
          <w:p w:rsidR="00D146CE" w:rsidRPr="005C2A78" w:rsidRDefault="00D146CE" w:rsidP="006D756B">
            <w:pPr>
              <w:rPr>
                <w:rFonts w:cs="Times New Roman"/>
                <w:szCs w:val="24"/>
              </w:rPr>
            </w:pPr>
            <w:sdt>
              <w:sdtPr>
                <w:rPr>
                  <w:rFonts w:cs="Times New Roman"/>
                  <w:szCs w:val="24"/>
                </w:rPr>
                <w:alias w:val="Agency Title"/>
                <w:tag w:val="AgencyTitleContentControl"/>
                <w:id w:val="1920747753"/>
                <w:lock w:val="sdtContentLocked"/>
                <w:placeholder>
                  <w:docPart w:val="BFDD71EE15764FA497D3B7DA30AE638E"/>
                </w:placeholder>
              </w:sdtPr>
              <w:sdtEndPr>
                <w:rPr>
                  <w:rFonts w:cstheme="minorBidi"/>
                  <w:szCs w:val="22"/>
                </w:rPr>
              </w:sdtEndPr>
              <w:sdtContent>
                <w:r>
                  <w:rPr>
                    <w:rFonts w:cs="Times New Roman"/>
                    <w:szCs w:val="24"/>
                  </w:rPr>
                  <w:t>Senate Research Center</w:t>
                </w:r>
              </w:sdtContent>
            </w:sdt>
          </w:p>
        </w:tc>
        <w:tc>
          <w:tcPr>
            <w:tcW w:w="6858" w:type="dxa"/>
          </w:tcPr>
          <w:p w:rsidR="00D146CE" w:rsidRPr="00FF6471" w:rsidRDefault="00D146CE" w:rsidP="000F1DF9">
            <w:pPr>
              <w:jc w:val="right"/>
              <w:rPr>
                <w:rFonts w:cs="Times New Roman"/>
                <w:szCs w:val="24"/>
              </w:rPr>
            </w:pPr>
            <w:sdt>
              <w:sdtPr>
                <w:rPr>
                  <w:rFonts w:cs="Times New Roman"/>
                  <w:szCs w:val="24"/>
                </w:rPr>
                <w:alias w:val="Bill Number"/>
                <w:tag w:val="BillNumberOne"/>
                <w:id w:val="-410784069"/>
                <w:lock w:val="sdtContentLocked"/>
                <w:placeholder>
                  <w:docPart w:val="9E0F92F311E94A57AA3EAEF3F45504D8"/>
                </w:placeholder>
              </w:sdtPr>
              <w:sdtContent>
                <w:r>
                  <w:rPr>
                    <w:rFonts w:cs="Times New Roman"/>
                    <w:szCs w:val="24"/>
                  </w:rPr>
                  <w:t>S.B. 1147</w:t>
                </w:r>
              </w:sdtContent>
            </w:sdt>
          </w:p>
        </w:tc>
      </w:tr>
      <w:tr w:rsidR="00D146CE" w:rsidTr="000F1DF9">
        <w:sdt>
          <w:sdtPr>
            <w:rPr>
              <w:rFonts w:cs="Times New Roman"/>
              <w:szCs w:val="24"/>
            </w:rPr>
            <w:alias w:val="TLCNumber"/>
            <w:tag w:val="TLCNumber"/>
            <w:id w:val="-542600604"/>
            <w:lock w:val="sdtLocked"/>
            <w:placeholder>
              <w:docPart w:val="3536417918A9443CA108C04C4D361246"/>
            </w:placeholder>
          </w:sdtPr>
          <w:sdtContent>
            <w:tc>
              <w:tcPr>
                <w:tcW w:w="2718" w:type="dxa"/>
              </w:tcPr>
              <w:p w:rsidR="00D146CE" w:rsidRPr="000F1DF9" w:rsidRDefault="00D146CE" w:rsidP="00C65088">
                <w:pPr>
                  <w:rPr>
                    <w:rFonts w:cs="Times New Roman"/>
                    <w:szCs w:val="24"/>
                  </w:rPr>
                </w:pPr>
                <w:r>
                  <w:rPr>
                    <w:rFonts w:cs="Times New Roman"/>
                    <w:szCs w:val="24"/>
                  </w:rPr>
                  <w:t>85R11741 YDB-D</w:t>
                </w:r>
              </w:p>
            </w:tc>
          </w:sdtContent>
        </w:sdt>
        <w:tc>
          <w:tcPr>
            <w:tcW w:w="6858" w:type="dxa"/>
          </w:tcPr>
          <w:p w:rsidR="00D146CE" w:rsidRPr="005C2A78" w:rsidRDefault="00D146CE" w:rsidP="006D756B">
            <w:pPr>
              <w:jc w:val="right"/>
              <w:rPr>
                <w:rFonts w:cs="Times New Roman"/>
                <w:szCs w:val="24"/>
              </w:rPr>
            </w:pPr>
            <w:sdt>
              <w:sdtPr>
                <w:rPr>
                  <w:rFonts w:cs="Times New Roman"/>
                  <w:szCs w:val="24"/>
                </w:rPr>
                <w:alias w:val="Author Label"/>
                <w:tag w:val="By"/>
                <w:id w:val="72399597"/>
                <w:lock w:val="sdtLocked"/>
                <w:placeholder>
                  <w:docPart w:val="ECE91BB749694934A22087354CEF5C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021D36DF9D4FCDB593DAF7A40C5821"/>
                </w:placeholder>
              </w:sdtPr>
              <w:sdtContent>
                <w:r>
                  <w:rPr>
                    <w:rFonts w:cs="Times New Roman"/>
                    <w:szCs w:val="24"/>
                  </w:rPr>
                  <w:t>Watson; Hancock</w:t>
                </w:r>
              </w:sdtContent>
            </w:sdt>
            <w:sdt>
              <w:sdtPr>
                <w:rPr>
                  <w:rFonts w:cs="Times New Roman"/>
                  <w:szCs w:val="24"/>
                </w:rPr>
                <w:alias w:val="Sponsor"/>
                <w:tag w:val="Sponsor"/>
                <w:id w:val="-2039656131"/>
                <w:lock w:val="sdtContentLocked"/>
                <w:placeholder>
                  <w:docPart w:val="2DEB5B9E0C0B42F6B8D80ACA7019575F"/>
                </w:placeholder>
                <w:showingPlcHdr/>
              </w:sdtPr>
              <w:sdtContent/>
            </w:sdt>
          </w:p>
        </w:tc>
      </w:tr>
      <w:tr w:rsidR="00D146CE" w:rsidTr="000F1DF9">
        <w:tc>
          <w:tcPr>
            <w:tcW w:w="2718" w:type="dxa"/>
          </w:tcPr>
          <w:p w:rsidR="00D146CE" w:rsidRPr="00BC7495" w:rsidRDefault="00D146CE" w:rsidP="000F1DF9">
            <w:pPr>
              <w:rPr>
                <w:rFonts w:cs="Times New Roman"/>
                <w:szCs w:val="24"/>
              </w:rPr>
            </w:pPr>
          </w:p>
        </w:tc>
        <w:sdt>
          <w:sdtPr>
            <w:rPr>
              <w:rFonts w:cs="Times New Roman"/>
              <w:szCs w:val="24"/>
            </w:rPr>
            <w:alias w:val="Committee"/>
            <w:tag w:val="Committee"/>
            <w:id w:val="1914272295"/>
            <w:lock w:val="sdtContentLocked"/>
            <w:placeholder>
              <w:docPart w:val="BB0FE76D933E43B9BB9BA8D581360BE5"/>
            </w:placeholder>
          </w:sdtPr>
          <w:sdtContent>
            <w:tc>
              <w:tcPr>
                <w:tcW w:w="6858" w:type="dxa"/>
              </w:tcPr>
              <w:p w:rsidR="00D146CE" w:rsidRPr="00FF6471" w:rsidRDefault="00D146CE" w:rsidP="000F1DF9">
                <w:pPr>
                  <w:jc w:val="right"/>
                  <w:rPr>
                    <w:rFonts w:cs="Times New Roman"/>
                    <w:szCs w:val="24"/>
                  </w:rPr>
                </w:pPr>
                <w:r>
                  <w:rPr>
                    <w:rFonts w:cs="Times New Roman"/>
                    <w:szCs w:val="24"/>
                  </w:rPr>
                  <w:t>Business &amp; Commerce</w:t>
                </w:r>
              </w:p>
            </w:tc>
          </w:sdtContent>
        </w:sdt>
      </w:tr>
      <w:tr w:rsidR="00D146CE" w:rsidTr="000F1DF9">
        <w:tc>
          <w:tcPr>
            <w:tcW w:w="2718" w:type="dxa"/>
          </w:tcPr>
          <w:p w:rsidR="00D146CE" w:rsidRPr="00BC7495" w:rsidRDefault="00D146CE" w:rsidP="000F1DF9">
            <w:pPr>
              <w:rPr>
                <w:rFonts w:cs="Times New Roman"/>
                <w:szCs w:val="24"/>
              </w:rPr>
            </w:pPr>
          </w:p>
        </w:tc>
        <w:sdt>
          <w:sdtPr>
            <w:rPr>
              <w:rFonts w:cs="Times New Roman"/>
              <w:szCs w:val="24"/>
            </w:rPr>
            <w:alias w:val="Date"/>
            <w:tag w:val="DateContentControl"/>
            <w:id w:val="1178081906"/>
            <w:lock w:val="sdtLocked"/>
            <w:placeholder>
              <w:docPart w:val="D7EFEC5786364F1B9D35D1F5AD828ED8"/>
            </w:placeholder>
            <w:date w:fullDate="2017-03-24T00:00:00Z">
              <w:dateFormat w:val="M/d/yyyy"/>
              <w:lid w:val="en-US"/>
              <w:storeMappedDataAs w:val="dateTime"/>
              <w:calendar w:val="gregorian"/>
            </w:date>
          </w:sdtPr>
          <w:sdtContent>
            <w:tc>
              <w:tcPr>
                <w:tcW w:w="6858" w:type="dxa"/>
              </w:tcPr>
              <w:p w:rsidR="00D146CE" w:rsidRPr="00FF6471" w:rsidRDefault="00D146CE" w:rsidP="000F1DF9">
                <w:pPr>
                  <w:jc w:val="right"/>
                  <w:rPr>
                    <w:rFonts w:cs="Times New Roman"/>
                    <w:szCs w:val="24"/>
                  </w:rPr>
                </w:pPr>
                <w:r>
                  <w:rPr>
                    <w:rFonts w:cs="Times New Roman"/>
                    <w:szCs w:val="24"/>
                  </w:rPr>
                  <w:t>3/24/2017</w:t>
                </w:r>
              </w:p>
            </w:tc>
          </w:sdtContent>
        </w:sdt>
      </w:tr>
      <w:tr w:rsidR="00D146CE" w:rsidTr="000F1DF9">
        <w:tc>
          <w:tcPr>
            <w:tcW w:w="2718" w:type="dxa"/>
          </w:tcPr>
          <w:p w:rsidR="00D146CE" w:rsidRPr="00BC7495" w:rsidRDefault="00D146CE" w:rsidP="000F1DF9">
            <w:pPr>
              <w:rPr>
                <w:rFonts w:cs="Times New Roman"/>
                <w:szCs w:val="24"/>
              </w:rPr>
            </w:pPr>
          </w:p>
        </w:tc>
        <w:sdt>
          <w:sdtPr>
            <w:rPr>
              <w:rFonts w:cs="Times New Roman"/>
              <w:szCs w:val="24"/>
            </w:rPr>
            <w:alias w:val="BA Version"/>
            <w:tag w:val="BAVersion"/>
            <w:id w:val="-1685590809"/>
            <w:lock w:val="sdtContentLocked"/>
            <w:placeholder>
              <w:docPart w:val="CD9692C6A8EE4C8792B61BFDF981E694"/>
            </w:placeholder>
          </w:sdtPr>
          <w:sdtContent>
            <w:tc>
              <w:tcPr>
                <w:tcW w:w="6858" w:type="dxa"/>
              </w:tcPr>
              <w:p w:rsidR="00D146CE" w:rsidRPr="00FF6471" w:rsidRDefault="00D146CE" w:rsidP="000F1DF9">
                <w:pPr>
                  <w:jc w:val="right"/>
                  <w:rPr>
                    <w:rFonts w:cs="Times New Roman"/>
                    <w:szCs w:val="24"/>
                  </w:rPr>
                </w:pPr>
                <w:r>
                  <w:rPr>
                    <w:rFonts w:cs="Times New Roman"/>
                    <w:szCs w:val="24"/>
                  </w:rPr>
                  <w:t>As Filed</w:t>
                </w:r>
              </w:p>
            </w:tc>
          </w:sdtContent>
        </w:sdt>
      </w:tr>
    </w:tbl>
    <w:p w:rsidR="00D146CE" w:rsidRPr="00FF6471" w:rsidRDefault="00D146CE" w:rsidP="000F1DF9">
      <w:pPr>
        <w:spacing w:after="0" w:line="240" w:lineRule="auto"/>
        <w:rPr>
          <w:rFonts w:cs="Times New Roman"/>
          <w:szCs w:val="24"/>
        </w:rPr>
      </w:pPr>
    </w:p>
    <w:p w:rsidR="00D146CE" w:rsidRPr="00FF6471" w:rsidRDefault="00D146CE" w:rsidP="000F1DF9">
      <w:pPr>
        <w:spacing w:after="0" w:line="240" w:lineRule="auto"/>
        <w:rPr>
          <w:rFonts w:cs="Times New Roman"/>
          <w:szCs w:val="24"/>
        </w:rPr>
      </w:pPr>
    </w:p>
    <w:p w:rsidR="00D146CE" w:rsidRPr="00FF6471" w:rsidRDefault="00D146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76536A619E4EFDB70FC2F1D5E7F66E"/>
        </w:placeholder>
      </w:sdtPr>
      <w:sdtContent>
        <w:p w:rsidR="00D146CE" w:rsidRDefault="00D146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849AAEE9284C878B6ECDEF3E6EB6AA"/>
        </w:placeholder>
      </w:sdtPr>
      <w:sdtContent>
        <w:p w:rsidR="00D146CE" w:rsidRDefault="00D146CE" w:rsidP="004B25BD">
          <w:pPr>
            <w:pStyle w:val="NormalWeb"/>
            <w:spacing w:before="0" w:beforeAutospacing="0" w:after="0" w:afterAutospacing="0"/>
            <w:jc w:val="both"/>
            <w:divId w:val="1150438027"/>
            <w:rPr>
              <w:rFonts w:eastAsia="Times New Roman"/>
              <w:bCs/>
            </w:rPr>
          </w:pPr>
        </w:p>
        <w:p w:rsidR="00D146CE" w:rsidRDefault="00D146CE" w:rsidP="004B25BD">
          <w:pPr>
            <w:pStyle w:val="NormalWeb"/>
            <w:spacing w:before="0" w:beforeAutospacing="0" w:after="0" w:afterAutospacing="0"/>
            <w:jc w:val="both"/>
            <w:divId w:val="1150438027"/>
            <w:rPr>
              <w:color w:val="000000"/>
            </w:rPr>
          </w:pPr>
          <w:r w:rsidRPr="00920EC4">
            <w:rPr>
              <w:color w:val="000000"/>
            </w:rPr>
            <w:t>S.B. 1147 creates the Texas State Music Museum to preserve, recognize, and celebrate the rich and varied heritage of Texas music and T</w:t>
          </w:r>
          <w:r>
            <w:rPr>
              <w:color w:val="000000"/>
            </w:rPr>
            <w:t xml:space="preserve">exas musicians. S.B. 1147 </w:t>
          </w:r>
          <w:r w:rsidRPr="00920EC4">
            <w:rPr>
              <w:color w:val="000000"/>
            </w:rPr>
            <w:t>require</w:t>
          </w:r>
          <w:r>
            <w:rPr>
              <w:color w:val="000000"/>
            </w:rPr>
            <w:t>s</w:t>
          </w:r>
          <w:r w:rsidRPr="00920EC4">
            <w:rPr>
              <w:color w:val="000000"/>
            </w:rPr>
            <w:t xml:space="preserve"> the State Preservation Board</w:t>
          </w:r>
          <w:r>
            <w:rPr>
              <w:color w:val="000000"/>
            </w:rPr>
            <w:t xml:space="preserve"> (SPB)</w:t>
          </w:r>
          <w:r w:rsidRPr="00920EC4">
            <w:rPr>
              <w:color w:val="000000"/>
            </w:rPr>
            <w:t xml:space="preserve"> to establish a non-profit Texas Music Foundation that would be responsible for managing, operating, and funding the museum.</w:t>
          </w:r>
        </w:p>
        <w:p w:rsidR="00D146CE" w:rsidRPr="00920EC4" w:rsidRDefault="00D146CE" w:rsidP="004B25BD">
          <w:pPr>
            <w:pStyle w:val="NormalWeb"/>
            <w:spacing w:before="0" w:beforeAutospacing="0" w:after="0" w:afterAutospacing="0"/>
            <w:jc w:val="both"/>
            <w:divId w:val="1150438027"/>
            <w:rPr>
              <w:color w:val="000000"/>
            </w:rPr>
          </w:pPr>
        </w:p>
        <w:p w:rsidR="00D146CE" w:rsidRDefault="00D146CE" w:rsidP="004B25BD">
          <w:pPr>
            <w:pStyle w:val="NormalWeb"/>
            <w:spacing w:before="0" w:beforeAutospacing="0" w:after="0" w:afterAutospacing="0"/>
            <w:jc w:val="both"/>
            <w:divId w:val="1150438027"/>
            <w:rPr>
              <w:color w:val="000000"/>
            </w:rPr>
          </w:pPr>
          <w:r w:rsidRPr="00920EC4">
            <w:rPr>
              <w:color w:val="000000"/>
            </w:rPr>
            <w:t>To honor and celebrate Texas' rich musical heritage, the state needs an official museum of Texas music. The museum would operate using a similar framework to the one created for the Bullock Museum of Texas History, but no state money would be appropriated to create the museum. Instead, a non-profit Texas Music Foundation would be established to manage and operate the museum s</w:t>
          </w:r>
          <w:r>
            <w:rPr>
              <w:color w:val="000000"/>
            </w:rPr>
            <w:t>ubject to oversight by SPB</w:t>
          </w:r>
          <w:r w:rsidRPr="00920EC4">
            <w:rPr>
              <w:color w:val="000000"/>
            </w:rPr>
            <w:t>. As the museum operator, the Texas Music Foundation would be able to sell music and other items, host live music performances and recordings, and accept donations for the museum. The foundation would also raise money for the museum by ch</w:t>
          </w:r>
          <w:r>
            <w:rPr>
              <w:color w:val="000000"/>
            </w:rPr>
            <w:t xml:space="preserve">arging various fees (i.e., </w:t>
          </w:r>
          <w:r w:rsidRPr="00920EC4">
            <w:rPr>
              <w:color w:val="000000"/>
            </w:rPr>
            <w:t>admission fees, facility rental fees, parking fees).</w:t>
          </w:r>
        </w:p>
        <w:p w:rsidR="00D146CE" w:rsidRPr="00920EC4" w:rsidRDefault="00D146CE" w:rsidP="004B25BD">
          <w:pPr>
            <w:pStyle w:val="NormalWeb"/>
            <w:spacing w:before="0" w:beforeAutospacing="0" w:after="0" w:afterAutospacing="0"/>
            <w:jc w:val="both"/>
            <w:divId w:val="1150438027"/>
            <w:rPr>
              <w:color w:val="000000"/>
            </w:rPr>
          </w:pPr>
        </w:p>
        <w:p w:rsidR="00D146CE" w:rsidRPr="00920EC4" w:rsidRDefault="00D146CE" w:rsidP="004B25BD">
          <w:pPr>
            <w:pStyle w:val="NormalWeb"/>
            <w:spacing w:before="0" w:beforeAutospacing="0" w:after="0" w:afterAutospacing="0"/>
            <w:jc w:val="both"/>
            <w:divId w:val="1150438027"/>
            <w:rPr>
              <w:color w:val="000000"/>
            </w:rPr>
          </w:pPr>
          <w:r w:rsidRPr="00920EC4">
            <w:rPr>
              <w:color w:val="000000"/>
            </w:rPr>
            <w:t>S.B. 1147 is supported</w:t>
          </w:r>
          <w:r>
            <w:rPr>
              <w:color w:val="000000"/>
            </w:rPr>
            <w:t xml:space="preserve"> by the governor and SPB, </w:t>
          </w:r>
          <w:r w:rsidRPr="00920EC4">
            <w:rPr>
              <w:color w:val="000000"/>
            </w:rPr>
            <w:t xml:space="preserve">among others. </w:t>
          </w:r>
        </w:p>
        <w:p w:rsidR="00D146CE" w:rsidRPr="00D70925" w:rsidRDefault="00D146CE" w:rsidP="004B25BD">
          <w:pPr>
            <w:spacing w:after="0" w:line="240" w:lineRule="auto"/>
            <w:jc w:val="both"/>
            <w:rPr>
              <w:rFonts w:eastAsia="Times New Roman" w:cs="Times New Roman"/>
              <w:bCs/>
              <w:szCs w:val="24"/>
            </w:rPr>
          </w:pPr>
        </w:p>
      </w:sdtContent>
    </w:sdt>
    <w:p w:rsidR="00D146CE" w:rsidRDefault="00D146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1147 </w:t>
      </w:r>
      <w:bookmarkStart w:id="1" w:name="AmendsCurrentLaw"/>
      <w:bookmarkEnd w:id="1"/>
      <w:r>
        <w:rPr>
          <w:rFonts w:cs="Times New Roman"/>
          <w:szCs w:val="24"/>
        </w:rPr>
        <w:t>amends current law relating to the establishment of the Texas State Music Museum and Texas Music Foundation and authorizes fees.</w:t>
      </w:r>
    </w:p>
    <w:p w:rsidR="00D146CE" w:rsidRPr="00EF1FF4" w:rsidRDefault="00D146CE" w:rsidP="000F1DF9">
      <w:pPr>
        <w:spacing w:after="0" w:line="240" w:lineRule="auto"/>
        <w:jc w:val="both"/>
        <w:rPr>
          <w:rFonts w:eastAsia="Times New Roman" w:cs="Times New Roman"/>
          <w:szCs w:val="24"/>
        </w:rPr>
      </w:pPr>
    </w:p>
    <w:p w:rsidR="00D146CE" w:rsidRPr="005C2A78" w:rsidRDefault="00D146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0633B7B81F432696EA82A3D92A88DA"/>
          </w:placeholder>
        </w:sdtPr>
        <w:sdtContent>
          <w:r>
            <w:rPr>
              <w:rFonts w:eastAsia="Times New Roman" w:cs="Times New Roman"/>
              <w:b/>
              <w:szCs w:val="24"/>
              <w:u w:val="single"/>
            </w:rPr>
            <w:t>RULEMAKING AUTHORITY</w:t>
          </w:r>
        </w:sdtContent>
      </w:sdt>
    </w:p>
    <w:p w:rsidR="00D146CE" w:rsidRPr="006529C4" w:rsidRDefault="00D146CE" w:rsidP="00774EC7">
      <w:pPr>
        <w:spacing w:after="0" w:line="240" w:lineRule="auto"/>
        <w:jc w:val="both"/>
        <w:rPr>
          <w:rFonts w:cs="Times New Roman"/>
          <w:szCs w:val="24"/>
        </w:rPr>
      </w:pPr>
    </w:p>
    <w:p w:rsidR="00D146CE" w:rsidRPr="006529C4" w:rsidRDefault="00D146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46CE" w:rsidRPr="006529C4" w:rsidRDefault="00D146CE" w:rsidP="00774EC7">
      <w:pPr>
        <w:spacing w:after="0" w:line="240" w:lineRule="auto"/>
        <w:jc w:val="both"/>
        <w:rPr>
          <w:rFonts w:cs="Times New Roman"/>
          <w:szCs w:val="24"/>
        </w:rPr>
      </w:pPr>
    </w:p>
    <w:p w:rsidR="00D146CE" w:rsidRPr="005C2A78" w:rsidRDefault="00D146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D1C329E6F5436994798408C12F89C9"/>
          </w:placeholder>
        </w:sdtPr>
        <w:sdtContent>
          <w:r>
            <w:rPr>
              <w:rFonts w:eastAsia="Times New Roman" w:cs="Times New Roman"/>
              <w:b/>
              <w:szCs w:val="24"/>
              <w:u w:val="single"/>
            </w:rPr>
            <w:t>SECTION BY SECTION ANALYSIS</w:t>
          </w:r>
        </w:sdtContent>
      </w:sdt>
    </w:p>
    <w:p w:rsidR="00D146CE" w:rsidRPr="005C2A78" w:rsidRDefault="00D146CE" w:rsidP="000F1DF9">
      <w:pPr>
        <w:spacing w:after="0" w:line="240" w:lineRule="auto"/>
        <w:jc w:val="both"/>
        <w:rPr>
          <w:rFonts w:eastAsia="Times New Roman" w:cs="Times New Roman"/>
          <w:szCs w:val="24"/>
        </w:rPr>
      </w:pPr>
    </w:p>
    <w:p w:rsidR="00D146CE" w:rsidRDefault="00D146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Government Code, by adding Chapter 446, as follows:</w:t>
      </w:r>
    </w:p>
    <w:p w:rsidR="00D146CE" w:rsidRDefault="00D146CE" w:rsidP="000F1DF9">
      <w:pPr>
        <w:spacing w:after="0" w:line="240" w:lineRule="auto"/>
        <w:jc w:val="both"/>
        <w:rPr>
          <w:rFonts w:eastAsia="Times New Roman" w:cs="Times New Roman"/>
          <w:szCs w:val="24"/>
        </w:rPr>
      </w:pPr>
    </w:p>
    <w:p w:rsidR="00D146CE" w:rsidRDefault="00D146CE" w:rsidP="00FD1A93">
      <w:pPr>
        <w:spacing w:after="0" w:line="240" w:lineRule="auto"/>
        <w:jc w:val="center"/>
        <w:rPr>
          <w:rFonts w:eastAsia="Times New Roman" w:cs="Times New Roman"/>
          <w:szCs w:val="24"/>
        </w:rPr>
      </w:pPr>
      <w:r>
        <w:rPr>
          <w:rFonts w:eastAsia="Times New Roman" w:cs="Times New Roman"/>
          <w:szCs w:val="24"/>
        </w:rPr>
        <w:t>CHAPTER 446. TEXAS STATE MUSIC MUSEUM AND TEXAS MUSIC FOUNDATION</w:t>
      </w:r>
    </w:p>
    <w:p w:rsidR="00D146CE" w:rsidRDefault="00D146CE" w:rsidP="000F1DF9">
      <w:pPr>
        <w:spacing w:after="0" w:line="240" w:lineRule="auto"/>
        <w:jc w:val="both"/>
        <w:rPr>
          <w:rFonts w:eastAsia="Times New Roman" w:cs="Times New Roman"/>
          <w:szCs w:val="24"/>
        </w:rPr>
      </w:pPr>
    </w:p>
    <w:p w:rsidR="00D146CE" w:rsidRDefault="00D146CE" w:rsidP="00EF1FF4">
      <w:pPr>
        <w:spacing w:after="0" w:line="240" w:lineRule="auto"/>
        <w:ind w:left="720"/>
        <w:jc w:val="both"/>
        <w:rPr>
          <w:rFonts w:eastAsia="Times New Roman" w:cs="Times New Roman"/>
          <w:szCs w:val="24"/>
        </w:rPr>
      </w:pPr>
      <w:r>
        <w:rPr>
          <w:rFonts w:eastAsia="Times New Roman" w:cs="Times New Roman"/>
          <w:szCs w:val="24"/>
        </w:rPr>
        <w:t>Sec. 446.001. DEFINITIONS. Defines "board," "Capitol Complex," "foundation," "museum," and "presiding officer."</w:t>
      </w:r>
    </w:p>
    <w:p w:rsidR="00D146CE" w:rsidRDefault="00D146CE" w:rsidP="00EF1FF4">
      <w:pPr>
        <w:spacing w:after="0" w:line="240" w:lineRule="auto"/>
        <w:ind w:left="720"/>
        <w:jc w:val="both"/>
        <w:rPr>
          <w:rFonts w:eastAsia="Times New Roman" w:cs="Times New Roman"/>
          <w:szCs w:val="24"/>
        </w:rPr>
      </w:pPr>
    </w:p>
    <w:p w:rsidR="00D146CE" w:rsidRDefault="00D146CE" w:rsidP="00EF1FF4">
      <w:pPr>
        <w:spacing w:after="0" w:line="240" w:lineRule="auto"/>
        <w:ind w:left="720"/>
        <w:jc w:val="both"/>
      </w:pPr>
      <w:r>
        <w:rPr>
          <w:rFonts w:eastAsia="Times New Roman" w:cs="Times New Roman"/>
          <w:szCs w:val="24"/>
        </w:rPr>
        <w:t xml:space="preserve">Sec. 446.002. ESTABLISHMENT OF MUSEUM. (a) Provides that the Texas State Music Museum is established to </w:t>
      </w:r>
      <w:r w:rsidRPr="00EF1FF4">
        <w:t>educate and engage visitors in the rich and varied heri</w:t>
      </w:r>
      <w:r>
        <w:t>tage of the music of this state,</w:t>
      </w:r>
      <w:r w:rsidRPr="00EF1FF4">
        <w:t xml:space="preserve"> display objects and information relating to </w:t>
      </w:r>
      <w:r>
        <w:t xml:space="preserve">that rich and varied heritage, </w:t>
      </w:r>
      <w:r w:rsidRPr="00EF1FF4">
        <w:t>and</w:t>
      </w:r>
      <w:r>
        <w:t xml:space="preserve"> </w:t>
      </w:r>
      <w:r w:rsidRPr="00EF1FF4">
        <w:t>honor musical artists and other persons who h</w:t>
      </w:r>
      <w:r>
        <w:t>ave contributed to that heritage.</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Requires that the museum provide exhibits, concerts, programs, and activities that support the musical education of the people of this state, including students.</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(c) Requires that the cost of operating the museum be paid from revenue generated or collected by the museum and the foundation.</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 xml:space="preserve">Sec. 446.003. ESTABLISHMENT OF FOUNDATION. Requires the State Preservation Board (SPB) to </w:t>
      </w:r>
      <w:r w:rsidRPr="00EF1FF4">
        <w:t>establish and mai</w:t>
      </w:r>
      <w:r>
        <w:t>ntain the Texas Music Foundation (foundation)</w:t>
      </w:r>
      <w:r w:rsidRPr="00EF1FF4">
        <w:t xml:space="preserve"> as a Texas nonprofit corporation, exempt from federal income taxation under Section 501(a), Internal Revenue Code of 1986, as an organization described by S</w:t>
      </w:r>
      <w:r>
        <w:t>ection 501(c)(3) of that code. Provides that t</w:t>
      </w:r>
      <w:r w:rsidRPr="00EF1FF4">
        <w:t>he foundation is a nonpolitical legal entity dedicated solely to supporting the mission and goals of the museum</w:t>
      </w:r>
      <w:r>
        <w:t>.</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 xml:space="preserve">Sec. 446.004. FOUNDATION DIRECTORS. (a) Provides that the foundation </w:t>
      </w:r>
      <w:r w:rsidRPr="00EF1FF4">
        <w:t>is governed by 13 directors, appointed by the go</w:t>
      </w:r>
      <w:r>
        <w:t>vernor, as chairman of SPB</w:t>
      </w:r>
      <w:r w:rsidRPr="00EF1FF4">
        <w:t>, in c</w:t>
      </w:r>
      <w:r>
        <w:t>onsultation with the other SPB</w:t>
      </w:r>
      <w:r w:rsidRPr="00EF1FF4">
        <w:t xml:space="preserve"> members</w:t>
      </w:r>
      <w:r>
        <w:t>.</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Provides that the executive director of SPB</w:t>
      </w:r>
      <w:r w:rsidRPr="00EF1FF4">
        <w:t xml:space="preserve"> and a person designated by the governor's office serve as ex officio directors of the foundation, without voting privileges.</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(c)</w:t>
      </w:r>
      <w:r w:rsidRPr="00EF1FF4">
        <w:t xml:space="preserve"> </w:t>
      </w:r>
      <w:r>
        <w:t>Provides that each director serves at the will of the governor.</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(d) Requires the governor to designate a director to serve as the presiding officer of the foundation.</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 xml:space="preserve">(e) Provides that a director </w:t>
      </w:r>
      <w:r w:rsidRPr="00EF1FF4">
        <w:t>serves without compensation but is entitled to reimbursement for reasonable and necessary expenses incurred in the performance of duties as director.</w:t>
      </w:r>
      <w:r>
        <w:t xml:space="preserve"> </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(f) Prohibits a person who is required to register as a lobbyist under Chapter 305 (Registration of Lobbyists), from serving as a director.</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Sec. 446.005. BOARD OVERSIGHT AND DESIGNATION OF MUSEUM SPACE. (a) Provides that the museum is under the jurisdiction of SPB.</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 xml:space="preserve">(b) Requires SPB, </w:t>
      </w:r>
      <w:r w:rsidRPr="00EF1FF4">
        <w:t>with the assistance of the Tex</w:t>
      </w:r>
      <w:r>
        <w:t xml:space="preserve">as Facilities Commission (TFC), to </w:t>
      </w:r>
      <w:r w:rsidRPr="00EF1FF4">
        <w:t>designate sufficient space in a building in the Capito</w:t>
      </w:r>
      <w:r>
        <w:t>l Complex to house the museum. Provides that t</w:t>
      </w:r>
      <w:r w:rsidRPr="00EF1FF4">
        <w:t>he building is not subject to Section</w:t>
      </w:r>
      <w:r>
        <w:t xml:space="preserve"> 2165.005 (Naming of State Buildings).</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(c) Requires SPB to name the building.</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Sec. 446.006. AGREEMENT BETWEEN BOARD AND FOUNDATION. Requires SPB to enter into an agreement with the foundation for the management, operation, and financial support of the museum. Requires that the agreement include certain information.</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Sec. 446.007. FOUNDATION PERSONNEL. (a) Requires the foundation to employ personnel necessary to operate the museum.</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Provides that a foundation employee is not a state employee. Authorizes the foundation to set the salaries of foundation employees, subject to SPB oversight.</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Sec. 446.008. FOUNDATION POWERS AND DUTIES. (a) Requires the foundation to manage and operate the museum.</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Authorizes any authority granted to the museum to be exercised by the foundation, except as otherwise directed by SPB.</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 xml:space="preserve">(c) Requires the foundation to raise money to finance and support the museum. </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(d) Authorizes the foundation, w</w:t>
      </w:r>
      <w:r w:rsidRPr="00EF1FF4">
        <w:t xml:space="preserve">ith the approval </w:t>
      </w:r>
      <w:r>
        <w:t xml:space="preserve">of SPB, to </w:t>
      </w:r>
      <w:r w:rsidRPr="00EF1FF4">
        <w:t>conduct concerts, programs, and fund-raising activities in the Capitol Complex outside the fence line of the Capitol grounds.</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Sec. 446.009. FUNDING AND FEES. (a) Authorizes the foundation to</w:t>
      </w:r>
      <w:r w:rsidRPr="00EF1FF4">
        <w:t xml:space="preserve"> solicit and accept gifts, grants, sponsorships, and donations from individuals and public or private foundations and organizations to further the foundation's mission, including a gift, grant, sponsorship, or donation made in the name of the museum</w:t>
      </w:r>
      <w:r>
        <w:t>.</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Authorizes money raised by the foundation to be used to acquire personal property for or engage in construction activities related to the museum.</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(c) Authorizes the foundation to set</w:t>
      </w:r>
      <w:r w:rsidRPr="00EF1FF4">
        <w:t xml:space="preserve"> and collect fees in amounts necessary to provide for the operation of the museum, including fees for admission to exhibits, theaters, concerts, programs, and activities; </w:t>
      </w:r>
      <w:r>
        <w:t xml:space="preserve">parking and transportation; </w:t>
      </w:r>
      <w:r w:rsidRPr="00EF1FF4">
        <w:t>and</w:t>
      </w:r>
      <w:r>
        <w:t xml:space="preserve"> facility rental.</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(d) Authorizes the foundation to sell at the museum items manufactured or publications printed under contract with the museum.</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(e) Authorizes the foundation to establish a museum membership program.</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 xml:space="preserve">Sec. 446.010. TEXAS STATE MUSIC MUSEUM FUND. (a) Requires money </w:t>
      </w:r>
      <w:r w:rsidRPr="00EF1FF4">
        <w:t xml:space="preserve">and securities received by </w:t>
      </w:r>
      <w:r>
        <w:t xml:space="preserve">the foundation and museum to </w:t>
      </w:r>
      <w:r w:rsidRPr="00EF1FF4">
        <w:t>be held in trust outside the state treasury by the</w:t>
      </w:r>
      <w:r>
        <w:t xml:space="preserve"> Texas comptroller of public accounts</w:t>
      </w:r>
      <w:r w:rsidRPr="00EF1FF4">
        <w:t xml:space="preserve"> </w:t>
      </w:r>
      <w:r>
        <w:t>(</w:t>
      </w:r>
      <w:r w:rsidRPr="00EF1FF4">
        <w:t>comptroller</w:t>
      </w:r>
      <w:r>
        <w:t>)</w:t>
      </w:r>
      <w:r w:rsidRPr="00EF1FF4">
        <w:t xml:space="preserve"> in a special fund to be known as the Texas State Music Museum fund</w:t>
      </w:r>
      <w:r>
        <w:t xml:space="preserve"> (fund).</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Authorizes the foundation to spend money in the fund for any lawful purpose connected with the museum.</w:t>
      </w:r>
    </w:p>
    <w:p w:rsidR="00D146CE" w:rsidRDefault="00D146CE" w:rsidP="00EF1FF4">
      <w:pPr>
        <w:spacing w:after="0" w:line="240" w:lineRule="auto"/>
        <w:ind w:left="1440"/>
        <w:jc w:val="both"/>
      </w:pPr>
    </w:p>
    <w:p w:rsidR="00D146CE" w:rsidRDefault="00D146CE" w:rsidP="00EF1FF4">
      <w:pPr>
        <w:spacing w:after="0" w:line="240" w:lineRule="auto"/>
        <w:ind w:left="1440"/>
        <w:jc w:val="both"/>
      </w:pPr>
      <w:r>
        <w:t xml:space="preserve">(c) Provides that Subtitle D (State Purchasing and General Services), Title 10 (General Government), does not apply to a purchase or lease made with money from the fund. </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t>Sec. 446.011. FACILITIES. (a) Authorizes the foundation to operate in the museum a theater or other venue for hosting a musical concert or performance, a gift shop, unmanned teller machines, food services, and other services and facilities convenient or necessary for visitors to the museum.</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Provides that Chapter 355 (Vending Facilities Operated by Blind Persons), Labor Code, does not apply to vending facilities operated by or approved for operation in the museum.</w:t>
      </w:r>
    </w:p>
    <w:p w:rsidR="00D146CE" w:rsidRDefault="00D146CE" w:rsidP="00EF1FF4">
      <w:pPr>
        <w:spacing w:after="0" w:line="240" w:lineRule="auto"/>
        <w:ind w:left="1440"/>
        <w:jc w:val="both"/>
      </w:pPr>
    </w:p>
    <w:p w:rsidR="00D146CE" w:rsidRDefault="00D146CE" w:rsidP="00EF1FF4">
      <w:pPr>
        <w:spacing w:after="0" w:line="240" w:lineRule="auto"/>
        <w:ind w:left="720"/>
        <w:jc w:val="both"/>
      </w:pPr>
      <w:r w:rsidRPr="00EF1FF4">
        <w:t>Sec. 446.012.</w:t>
      </w:r>
      <w:r>
        <w:t>  NAMING OF MUSEUM AREAS. Authorizes the foundation, w</w:t>
      </w:r>
      <w:r w:rsidRPr="00EF1FF4">
        <w:t xml:space="preserve">ith the approval </w:t>
      </w:r>
      <w:r>
        <w:t>of SPB, to</w:t>
      </w:r>
      <w:r w:rsidRPr="00EF1FF4">
        <w:t xml:space="preserve"> name areas in the museum, including rooms and exhibition halls, in honor of donors or benefactors, or other persons who have contributed to the musical heritage of this state.</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 xml:space="preserve">Sec. 446.013.  INTELLECTUAL </w:t>
      </w:r>
      <w:r w:rsidRPr="00EF1FF4">
        <w:t>PRO</w:t>
      </w:r>
      <w:r>
        <w:t xml:space="preserve">PERTY RIGHTS. Authorizes the foundation to </w:t>
      </w:r>
      <w:r w:rsidRPr="00EF1FF4">
        <w:t>secure museum-related intellectual property rights for this state.</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Sec. 446.014. AUDIT. Provides that, the museum is subject to audit by the state auditor as provided by Chapter 321 (State Auditor).</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rsidRPr="00EF1FF4">
        <w:t>Sec. 446.015</w:t>
      </w:r>
      <w:r>
        <w:t>.  PARKING AND TRANSPORTATION. Authorizes the foundation to</w:t>
      </w:r>
      <w:r w:rsidRPr="00EF1FF4">
        <w:t xml:space="preserve"> provide at the museum parking for visitors and, in cooperation with other public and private authorities, may participate in providing transportation for visitors between other musical and cultural sites.</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Sec. 446.016.  PRIVATE EVENTS. Authorizes the foundation to</w:t>
      </w:r>
      <w:r w:rsidRPr="00EF1FF4">
        <w:t xml:space="preserve"> rent all or part of the museum's facilities for private events and provide for the sale, gift, possession, and consumption of alcoholic beverages at a private event held in the facilities.</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rsidRPr="00EF1FF4">
        <w:t>Sec. 446.017.  M</w:t>
      </w:r>
      <w:r>
        <w:t xml:space="preserve">ARKETING AND PUBLIC RELATIONS. Authorizes the foundation to </w:t>
      </w:r>
      <w:r w:rsidRPr="00EF1FF4">
        <w:t>engage in marketing and public relations to publicize the museum and the museum's mission</w:t>
      </w:r>
      <w:r>
        <w:t>.</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Sec. 446.018.  INSURANCE.</w:t>
      </w:r>
      <w:r w:rsidRPr="00EF1FF4">
        <w:t xml:space="preserve"> </w:t>
      </w:r>
      <w:r>
        <w:t xml:space="preserve">Authorizes the foundation to </w:t>
      </w:r>
      <w:r w:rsidRPr="00EF1FF4">
        <w:t>purchase insurance policies to insure the museum's contents and other personal property against any insurable risk, including insurance covering historical artifacts, art, or other items on loan to the museum.</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t>Sec. 446.019.  CONTRACTS.</w:t>
      </w:r>
      <w:r w:rsidRPr="00EF1FF4">
        <w:t xml:space="preserve"> </w:t>
      </w:r>
      <w:r>
        <w:t xml:space="preserve">Authorizes the foundation to </w:t>
      </w:r>
      <w:r w:rsidRPr="00EF1FF4">
        <w:t>contract with public or private entities to the extent necessary or convenient for the operation of the museum's exhibits, concerts, programs, activities, and facilities, including contracts for the acquisition by purchase or loan of items for exhibition.</w:t>
      </w:r>
    </w:p>
    <w:p w:rsidR="00D146CE" w:rsidRDefault="00D146CE" w:rsidP="00EF1FF4">
      <w:pPr>
        <w:spacing w:after="0" w:line="240" w:lineRule="auto"/>
        <w:ind w:left="720"/>
        <w:jc w:val="both"/>
      </w:pPr>
    </w:p>
    <w:p w:rsidR="00D146CE" w:rsidRPr="00EF1FF4" w:rsidRDefault="00D146CE" w:rsidP="00EF1FF4">
      <w:pPr>
        <w:spacing w:after="0" w:line="240" w:lineRule="auto"/>
        <w:ind w:left="720"/>
        <w:jc w:val="both"/>
      </w:pPr>
      <w:r w:rsidRPr="00EF1FF4">
        <w:t>Sec. 446.020.  AGREEMENT FO</w:t>
      </w:r>
      <w:r>
        <w:t xml:space="preserve">R UTILITIES AND OTHER SERVICES. Authorizes the foundation to enter into an agreement with TFC to reimburse TFC </w:t>
      </w:r>
      <w:r w:rsidRPr="00EF1FF4">
        <w:t>for the costs of providing utilities and other necessary services for the museum.</w:t>
      </w:r>
    </w:p>
    <w:p w:rsidR="00D146CE" w:rsidRPr="00EF1FF4" w:rsidRDefault="00D146CE" w:rsidP="00EF1FF4">
      <w:pPr>
        <w:spacing w:after="0" w:line="240" w:lineRule="auto"/>
        <w:ind w:left="720"/>
        <w:jc w:val="both"/>
      </w:pPr>
    </w:p>
    <w:p w:rsidR="00D146CE" w:rsidRDefault="00D146CE" w:rsidP="00EF1FF4">
      <w:pPr>
        <w:spacing w:after="0" w:line="240" w:lineRule="auto"/>
        <w:ind w:left="720"/>
        <w:jc w:val="both"/>
      </w:pPr>
      <w:r>
        <w:t>Sec. 446.021.  ANNUAL REPORT. Requires that n</w:t>
      </w:r>
      <w:r w:rsidRPr="00EF1FF4">
        <w:t>ot later than the 60th day after the last day of each state f</w:t>
      </w:r>
      <w:r>
        <w:t xml:space="preserve">iscal year, the foundation to submit to SPB </w:t>
      </w:r>
      <w:r w:rsidRPr="00EF1FF4">
        <w:t>an electronic report itemizing all income and expenditures of the foundation and describing all activities of the foundation and museum during the preceding state fiscal year.</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rsidRPr="00EF1FF4">
        <w:t>Sec. 446.022.  OPEN MEETINGS AND</w:t>
      </w:r>
      <w:r>
        <w:t xml:space="preserve"> PUBLIC INFORMATION EXEMPTION. Provides that t</w:t>
      </w:r>
      <w:r w:rsidRPr="00EF1FF4">
        <w:t>he foundation is not subject to Chapter</w:t>
      </w:r>
      <w:r>
        <w:t xml:space="preserve"> 551 (Open Meetings), or Chapter 552 (Public Information).</w:t>
      </w:r>
    </w:p>
    <w:p w:rsidR="00D146CE" w:rsidRDefault="00D146CE" w:rsidP="00EF1FF4">
      <w:pPr>
        <w:spacing w:after="0" w:line="240" w:lineRule="auto"/>
        <w:ind w:left="720"/>
        <w:jc w:val="both"/>
      </w:pPr>
    </w:p>
    <w:p w:rsidR="00D146CE" w:rsidRDefault="00D146CE" w:rsidP="00EF1FF4">
      <w:pPr>
        <w:spacing w:after="0" w:line="240" w:lineRule="auto"/>
        <w:ind w:left="720"/>
        <w:jc w:val="both"/>
      </w:pPr>
      <w:r w:rsidRPr="00EF1FF4">
        <w:t>Sec. 446.023.  TAX EXEM</w:t>
      </w:r>
      <w:r>
        <w:t>PTION; FILING REQUIREMENT. (a) Provides that a</w:t>
      </w:r>
      <w:r w:rsidRPr="00EF1FF4">
        <w:t>ll income, property, and other assets of the foundation are exempt from taxation by this state and political subdivisions of this state</w:t>
      </w:r>
      <w:r>
        <w:t>.</w:t>
      </w:r>
    </w:p>
    <w:p w:rsidR="00D146CE" w:rsidRDefault="00D146CE" w:rsidP="00EF1FF4">
      <w:pPr>
        <w:spacing w:after="0" w:line="240" w:lineRule="auto"/>
        <w:ind w:left="720"/>
        <w:jc w:val="both"/>
      </w:pPr>
    </w:p>
    <w:p w:rsidR="00D146CE" w:rsidRDefault="00D146CE" w:rsidP="00EF1FF4">
      <w:pPr>
        <w:spacing w:after="0" w:line="240" w:lineRule="auto"/>
        <w:ind w:left="1440"/>
        <w:jc w:val="both"/>
      </w:pPr>
      <w:r>
        <w:t>(b) Requires the foundation to</w:t>
      </w:r>
      <w:r w:rsidRPr="00EF1FF4">
        <w:t xml:space="preserve"> comply with all filing requirements of the secretary of state and the Internal Revenue Service.</w:t>
      </w:r>
    </w:p>
    <w:p w:rsidR="00D146CE" w:rsidRDefault="00D146CE" w:rsidP="00EF1FF4">
      <w:pPr>
        <w:spacing w:after="0" w:line="240" w:lineRule="auto"/>
        <w:ind w:left="1440"/>
        <w:jc w:val="both"/>
      </w:pPr>
    </w:p>
    <w:p w:rsidR="00D146CE" w:rsidRPr="00EF1FF4" w:rsidRDefault="00D146CE" w:rsidP="00EF1FF4">
      <w:pPr>
        <w:spacing w:after="0" w:line="240" w:lineRule="auto"/>
        <w:ind w:left="720"/>
        <w:jc w:val="both"/>
        <w:rPr>
          <w:b/>
        </w:rPr>
      </w:pPr>
      <w:r w:rsidRPr="00EF1FF4">
        <w:t>Sec. 44</w:t>
      </w:r>
      <w:r>
        <w:t>6.024.  PROHIBITED ACTIVITIES. Prohibits the foundation from donating</w:t>
      </w:r>
      <w:r w:rsidRPr="00EF1FF4">
        <w:t xml:space="preserve"> funds to</w:t>
      </w:r>
      <w:r>
        <w:t xml:space="preserve"> a political campaign or endorsing</w:t>
      </w:r>
      <w:r w:rsidRPr="00EF1FF4">
        <w:t xml:space="preserve"> a political candidate</w:t>
      </w:r>
      <w:r>
        <w:t xml:space="preserve">, </w:t>
      </w:r>
      <w:r w:rsidRPr="00EF1FF4">
        <w:t>lobby</w:t>
      </w:r>
      <w:r>
        <w:t>ing</w:t>
      </w:r>
      <w:r w:rsidRPr="00EF1FF4">
        <w:t xml:space="preserve"> or otherwise attempt</w:t>
      </w:r>
      <w:r>
        <w:t>ing</w:t>
      </w:r>
      <w:r w:rsidRPr="00EF1FF4">
        <w:t xml:space="preserve"> to influe</w:t>
      </w:r>
      <w:r>
        <w:t>nce a member of the legislature,</w:t>
      </w:r>
      <w:r w:rsidRPr="00EF1FF4">
        <w:t xml:space="preserve"> or</w:t>
      </w:r>
      <w:r>
        <w:t xml:space="preserve"> </w:t>
      </w:r>
      <w:r w:rsidRPr="00EF1FF4">
        <w:t>directly or indirectly attempt</w:t>
      </w:r>
      <w:r>
        <w:t>ing</w:t>
      </w:r>
      <w:r w:rsidRPr="00EF1FF4">
        <w:t xml:space="preserve"> to influence legislation.</w:t>
      </w:r>
    </w:p>
    <w:p w:rsidR="00D146CE" w:rsidRPr="005C2A78" w:rsidRDefault="00D146CE" w:rsidP="000F1DF9">
      <w:pPr>
        <w:spacing w:after="0" w:line="240" w:lineRule="auto"/>
        <w:jc w:val="both"/>
        <w:rPr>
          <w:rFonts w:eastAsia="Times New Roman" w:cs="Times New Roman"/>
          <w:szCs w:val="24"/>
        </w:rPr>
      </w:pPr>
    </w:p>
    <w:p w:rsidR="00D146CE" w:rsidRPr="005C2A78" w:rsidRDefault="00D146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SPB, as soon as practicable after the effective date of this Act, to establish the foundation under Chapter 446, Government Code, as added by this Act, and requires the governor to appoint directors to the foundation as provided by Section 446.004, Government Code, as added by this Act. </w:t>
      </w:r>
    </w:p>
    <w:p w:rsidR="00D146CE" w:rsidRPr="005C2A78" w:rsidRDefault="00D146CE" w:rsidP="000F1DF9">
      <w:pPr>
        <w:spacing w:after="0" w:line="240" w:lineRule="auto"/>
        <w:jc w:val="both"/>
        <w:rPr>
          <w:rFonts w:eastAsia="Times New Roman" w:cs="Times New Roman"/>
          <w:szCs w:val="24"/>
        </w:rPr>
      </w:pPr>
    </w:p>
    <w:p w:rsidR="00D146CE" w:rsidRPr="005C2A78" w:rsidRDefault="00D146CE" w:rsidP="000F1DF9">
      <w:pPr>
        <w:spacing w:after="0" w:line="240" w:lineRule="auto"/>
        <w:jc w:val="both"/>
        <w:rPr>
          <w:rFonts w:eastAsia="Times New Roman" w:cs="Times New Roman"/>
          <w:szCs w:val="24"/>
        </w:rPr>
      </w:pPr>
      <w:r>
        <w:rPr>
          <w:rFonts w:eastAsia="Times New Roman" w:cs="Times New Roman"/>
          <w:szCs w:val="24"/>
        </w:rPr>
        <w:t>SECTION 3. Effective date: upon passage or by September 1, 2017.</w:t>
      </w:r>
    </w:p>
    <w:p w:rsidR="00D146CE" w:rsidRPr="006529C4" w:rsidRDefault="00D146CE" w:rsidP="00774EC7">
      <w:pPr>
        <w:spacing w:after="0" w:line="240" w:lineRule="auto"/>
        <w:jc w:val="both"/>
        <w:rPr>
          <w:rFonts w:cs="Times New Roman"/>
          <w:szCs w:val="24"/>
        </w:rPr>
      </w:pPr>
    </w:p>
    <w:p w:rsidR="00D146CE" w:rsidRPr="006529C4" w:rsidRDefault="00D146CE" w:rsidP="00774EC7">
      <w:pPr>
        <w:spacing w:after="0" w:line="240" w:lineRule="auto"/>
        <w:jc w:val="both"/>
      </w:pPr>
    </w:p>
    <w:p w:rsidR="00D146CE" w:rsidRPr="00920EC4" w:rsidRDefault="00D146CE" w:rsidP="00920EC4"/>
    <w:p w:rsidR="00D146CE" w:rsidRPr="00FD1A93" w:rsidRDefault="00D146CE" w:rsidP="00FD1A93"/>
    <w:p w:rsidR="00D146CE" w:rsidRPr="004B25BD" w:rsidRDefault="00D146CE" w:rsidP="004B25BD"/>
    <w:p w:rsidR="00986E9F" w:rsidRPr="00D146CE" w:rsidRDefault="00986E9F" w:rsidP="00D146CE"/>
    <w:sectPr w:rsidR="00986E9F" w:rsidRPr="00D146C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89" w:rsidRDefault="00312189" w:rsidP="000F1DF9">
      <w:pPr>
        <w:spacing w:after="0" w:line="240" w:lineRule="auto"/>
      </w:pPr>
      <w:r>
        <w:separator/>
      </w:r>
    </w:p>
  </w:endnote>
  <w:endnote w:type="continuationSeparator" w:id="0">
    <w:p w:rsidR="00312189" w:rsidRDefault="003121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21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46C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46CE">
                <w:rPr>
                  <w:sz w:val="20"/>
                  <w:szCs w:val="20"/>
                </w:rPr>
                <w:t>S.B. 1147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46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21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46CE">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46C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89" w:rsidRDefault="00312189" w:rsidP="000F1DF9">
      <w:pPr>
        <w:spacing w:after="0" w:line="240" w:lineRule="auto"/>
      </w:pPr>
      <w:r>
        <w:separator/>
      </w:r>
    </w:p>
  </w:footnote>
  <w:footnote w:type="continuationSeparator" w:id="0">
    <w:p w:rsidR="00312189" w:rsidRDefault="003121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218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46C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46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46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26FD" w:rsidP="00DC26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161F52D2B14963AF81B3426AC26323"/>
        <w:category>
          <w:name w:val="General"/>
          <w:gallery w:val="placeholder"/>
        </w:category>
        <w:types>
          <w:type w:val="bbPlcHdr"/>
        </w:types>
        <w:behaviors>
          <w:behavior w:val="content"/>
        </w:behaviors>
        <w:guid w:val="{5B30D348-5504-49D3-844E-C27A1FAA5CFE}"/>
      </w:docPartPr>
      <w:docPartBody>
        <w:p w:rsidR="00000000" w:rsidRDefault="00946E81"/>
      </w:docPartBody>
    </w:docPart>
    <w:docPart>
      <w:docPartPr>
        <w:name w:val="BFDD71EE15764FA497D3B7DA30AE638E"/>
        <w:category>
          <w:name w:val="General"/>
          <w:gallery w:val="placeholder"/>
        </w:category>
        <w:types>
          <w:type w:val="bbPlcHdr"/>
        </w:types>
        <w:behaviors>
          <w:behavior w:val="content"/>
        </w:behaviors>
        <w:guid w:val="{2620844B-080B-4B30-BAC4-E11CD9B2AEA3}"/>
      </w:docPartPr>
      <w:docPartBody>
        <w:p w:rsidR="00000000" w:rsidRDefault="00946E81"/>
      </w:docPartBody>
    </w:docPart>
    <w:docPart>
      <w:docPartPr>
        <w:name w:val="9E0F92F311E94A57AA3EAEF3F45504D8"/>
        <w:category>
          <w:name w:val="General"/>
          <w:gallery w:val="placeholder"/>
        </w:category>
        <w:types>
          <w:type w:val="bbPlcHdr"/>
        </w:types>
        <w:behaviors>
          <w:behavior w:val="content"/>
        </w:behaviors>
        <w:guid w:val="{10A74409-D57D-466D-9954-E2F1F5CBF278}"/>
      </w:docPartPr>
      <w:docPartBody>
        <w:p w:rsidR="00000000" w:rsidRDefault="00946E81"/>
      </w:docPartBody>
    </w:docPart>
    <w:docPart>
      <w:docPartPr>
        <w:name w:val="3536417918A9443CA108C04C4D361246"/>
        <w:category>
          <w:name w:val="General"/>
          <w:gallery w:val="placeholder"/>
        </w:category>
        <w:types>
          <w:type w:val="bbPlcHdr"/>
        </w:types>
        <w:behaviors>
          <w:behavior w:val="content"/>
        </w:behaviors>
        <w:guid w:val="{184F56FF-98DD-48BF-9AB7-095F75E200A3}"/>
      </w:docPartPr>
      <w:docPartBody>
        <w:p w:rsidR="00000000" w:rsidRDefault="00946E81"/>
      </w:docPartBody>
    </w:docPart>
    <w:docPart>
      <w:docPartPr>
        <w:name w:val="ECE91BB749694934A22087354CEF5C00"/>
        <w:category>
          <w:name w:val="General"/>
          <w:gallery w:val="placeholder"/>
        </w:category>
        <w:types>
          <w:type w:val="bbPlcHdr"/>
        </w:types>
        <w:behaviors>
          <w:behavior w:val="content"/>
        </w:behaviors>
        <w:guid w:val="{096895D1-709F-442D-8D4B-AA767EA9238D}"/>
      </w:docPartPr>
      <w:docPartBody>
        <w:p w:rsidR="00000000" w:rsidRDefault="00946E81"/>
      </w:docPartBody>
    </w:docPart>
    <w:docPart>
      <w:docPartPr>
        <w:name w:val="1B021D36DF9D4FCDB593DAF7A40C5821"/>
        <w:category>
          <w:name w:val="General"/>
          <w:gallery w:val="placeholder"/>
        </w:category>
        <w:types>
          <w:type w:val="bbPlcHdr"/>
        </w:types>
        <w:behaviors>
          <w:behavior w:val="content"/>
        </w:behaviors>
        <w:guid w:val="{F7EF737C-C5D9-4DBF-A482-3687F71539A1}"/>
      </w:docPartPr>
      <w:docPartBody>
        <w:p w:rsidR="00000000" w:rsidRDefault="00946E81"/>
      </w:docPartBody>
    </w:docPart>
    <w:docPart>
      <w:docPartPr>
        <w:name w:val="2DEB5B9E0C0B42F6B8D80ACA7019575F"/>
        <w:category>
          <w:name w:val="General"/>
          <w:gallery w:val="placeholder"/>
        </w:category>
        <w:types>
          <w:type w:val="bbPlcHdr"/>
        </w:types>
        <w:behaviors>
          <w:behavior w:val="content"/>
        </w:behaviors>
        <w:guid w:val="{103C136B-6964-4E38-954F-3974D9AE97B5}"/>
      </w:docPartPr>
      <w:docPartBody>
        <w:p w:rsidR="00000000" w:rsidRDefault="00946E81"/>
      </w:docPartBody>
    </w:docPart>
    <w:docPart>
      <w:docPartPr>
        <w:name w:val="BB0FE76D933E43B9BB9BA8D581360BE5"/>
        <w:category>
          <w:name w:val="General"/>
          <w:gallery w:val="placeholder"/>
        </w:category>
        <w:types>
          <w:type w:val="bbPlcHdr"/>
        </w:types>
        <w:behaviors>
          <w:behavior w:val="content"/>
        </w:behaviors>
        <w:guid w:val="{0A94D241-FD8F-42A4-A306-A780E6B3B8BD}"/>
      </w:docPartPr>
      <w:docPartBody>
        <w:p w:rsidR="00000000" w:rsidRDefault="00946E81"/>
      </w:docPartBody>
    </w:docPart>
    <w:docPart>
      <w:docPartPr>
        <w:name w:val="D7EFEC5786364F1B9D35D1F5AD828ED8"/>
        <w:category>
          <w:name w:val="General"/>
          <w:gallery w:val="placeholder"/>
        </w:category>
        <w:types>
          <w:type w:val="bbPlcHdr"/>
        </w:types>
        <w:behaviors>
          <w:behavior w:val="content"/>
        </w:behaviors>
        <w:guid w:val="{8D53A6CA-0D36-4CCB-B5B1-113BB502A2AC}"/>
      </w:docPartPr>
      <w:docPartBody>
        <w:p w:rsidR="00000000" w:rsidRDefault="00DC26FD" w:rsidP="00DC26FD">
          <w:pPr>
            <w:pStyle w:val="D7EFEC5786364F1B9D35D1F5AD828ED8"/>
          </w:pPr>
          <w:r w:rsidRPr="00A30DD1">
            <w:rPr>
              <w:rStyle w:val="PlaceholderText"/>
            </w:rPr>
            <w:t>Click here to enter a date.</w:t>
          </w:r>
        </w:p>
      </w:docPartBody>
    </w:docPart>
    <w:docPart>
      <w:docPartPr>
        <w:name w:val="CD9692C6A8EE4C8792B61BFDF981E694"/>
        <w:category>
          <w:name w:val="General"/>
          <w:gallery w:val="placeholder"/>
        </w:category>
        <w:types>
          <w:type w:val="bbPlcHdr"/>
        </w:types>
        <w:behaviors>
          <w:behavior w:val="content"/>
        </w:behaviors>
        <w:guid w:val="{7DA73807-A864-42B2-A375-2BEA5ADD9F08}"/>
      </w:docPartPr>
      <w:docPartBody>
        <w:p w:rsidR="00000000" w:rsidRDefault="00946E81"/>
      </w:docPartBody>
    </w:docPart>
    <w:docPart>
      <w:docPartPr>
        <w:name w:val="4E76536A619E4EFDB70FC2F1D5E7F66E"/>
        <w:category>
          <w:name w:val="General"/>
          <w:gallery w:val="placeholder"/>
        </w:category>
        <w:types>
          <w:type w:val="bbPlcHdr"/>
        </w:types>
        <w:behaviors>
          <w:behavior w:val="content"/>
        </w:behaviors>
        <w:guid w:val="{78317518-67B1-43DA-B748-F7CD075D00FF}"/>
      </w:docPartPr>
      <w:docPartBody>
        <w:p w:rsidR="00000000" w:rsidRDefault="00946E81"/>
      </w:docPartBody>
    </w:docPart>
    <w:docPart>
      <w:docPartPr>
        <w:name w:val="D8849AAEE9284C878B6ECDEF3E6EB6AA"/>
        <w:category>
          <w:name w:val="General"/>
          <w:gallery w:val="placeholder"/>
        </w:category>
        <w:types>
          <w:type w:val="bbPlcHdr"/>
        </w:types>
        <w:behaviors>
          <w:behavior w:val="content"/>
        </w:behaviors>
        <w:guid w:val="{C7700213-C079-4D34-9CDC-0C348AE15E6F}"/>
      </w:docPartPr>
      <w:docPartBody>
        <w:p w:rsidR="00000000" w:rsidRDefault="00DC26FD" w:rsidP="00DC26FD">
          <w:pPr>
            <w:pStyle w:val="D8849AAEE9284C878B6ECDEF3E6EB6AA"/>
          </w:pPr>
          <w:r>
            <w:rPr>
              <w:rFonts w:eastAsia="Times New Roman" w:cs="Times New Roman"/>
              <w:bCs/>
              <w:szCs w:val="24"/>
            </w:rPr>
            <w:t xml:space="preserve"> </w:t>
          </w:r>
        </w:p>
      </w:docPartBody>
    </w:docPart>
    <w:docPart>
      <w:docPartPr>
        <w:name w:val="3C0633B7B81F432696EA82A3D92A88DA"/>
        <w:category>
          <w:name w:val="General"/>
          <w:gallery w:val="placeholder"/>
        </w:category>
        <w:types>
          <w:type w:val="bbPlcHdr"/>
        </w:types>
        <w:behaviors>
          <w:behavior w:val="content"/>
        </w:behaviors>
        <w:guid w:val="{C6B24C3A-F5F8-4563-8540-A7E0908CE8F3}"/>
      </w:docPartPr>
      <w:docPartBody>
        <w:p w:rsidR="00000000" w:rsidRDefault="00946E81"/>
      </w:docPartBody>
    </w:docPart>
    <w:docPart>
      <w:docPartPr>
        <w:name w:val="F6D1C329E6F5436994798408C12F89C9"/>
        <w:category>
          <w:name w:val="General"/>
          <w:gallery w:val="placeholder"/>
        </w:category>
        <w:types>
          <w:type w:val="bbPlcHdr"/>
        </w:types>
        <w:behaviors>
          <w:behavior w:val="content"/>
        </w:behaviors>
        <w:guid w:val="{2D0547C3-9DE8-4D94-B578-D46EC6617253}"/>
      </w:docPartPr>
      <w:docPartBody>
        <w:p w:rsidR="00000000" w:rsidRDefault="00946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6E81"/>
    <w:rsid w:val="00984D6C"/>
    <w:rsid w:val="00A54AD6"/>
    <w:rsid w:val="00A57564"/>
    <w:rsid w:val="00B252A4"/>
    <w:rsid w:val="00B5530B"/>
    <w:rsid w:val="00C129E8"/>
    <w:rsid w:val="00C968BA"/>
    <w:rsid w:val="00D63E87"/>
    <w:rsid w:val="00D705C9"/>
    <w:rsid w:val="00DC26F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26FD"/>
    <w:rPr>
      <w:rFonts w:ascii="Times New Roman" w:hAnsi="Times New Roman"/>
      <w:sz w:val="24"/>
    </w:rPr>
  </w:style>
  <w:style w:type="paragraph" w:customStyle="1" w:styleId="487D89B4F8B34DB4967D41FE18F7F88D7">
    <w:name w:val="487D89B4F8B34DB4967D41FE18F7F88D7"/>
    <w:rsid w:val="00DC26FD"/>
    <w:rPr>
      <w:rFonts w:ascii="Times New Roman" w:hAnsi="Times New Roman"/>
      <w:sz w:val="24"/>
    </w:rPr>
  </w:style>
  <w:style w:type="paragraph" w:customStyle="1" w:styleId="AE2570ED5D764CD7AF9686706F550F4620">
    <w:name w:val="AE2570ED5D764CD7AF9686706F550F4620"/>
    <w:rsid w:val="00DC26FD"/>
    <w:pPr>
      <w:tabs>
        <w:tab w:val="center" w:pos="4680"/>
        <w:tab w:val="right" w:pos="9360"/>
      </w:tabs>
      <w:spacing w:after="0" w:line="240" w:lineRule="auto"/>
    </w:pPr>
    <w:rPr>
      <w:rFonts w:ascii="Times New Roman" w:hAnsi="Times New Roman"/>
      <w:sz w:val="24"/>
    </w:rPr>
  </w:style>
  <w:style w:type="paragraph" w:customStyle="1" w:styleId="D7EFEC5786364F1B9D35D1F5AD828ED8">
    <w:name w:val="D7EFEC5786364F1B9D35D1F5AD828ED8"/>
    <w:rsid w:val="00DC26FD"/>
  </w:style>
  <w:style w:type="paragraph" w:customStyle="1" w:styleId="D8849AAEE9284C878B6ECDEF3E6EB6AA">
    <w:name w:val="D8849AAEE9284C878B6ECDEF3E6EB6AA"/>
    <w:rsid w:val="00DC26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C26FD"/>
    <w:rPr>
      <w:rFonts w:ascii="Times New Roman" w:hAnsi="Times New Roman"/>
      <w:sz w:val="24"/>
    </w:rPr>
  </w:style>
  <w:style w:type="paragraph" w:customStyle="1" w:styleId="487D89B4F8B34DB4967D41FE18F7F88D7">
    <w:name w:val="487D89B4F8B34DB4967D41FE18F7F88D7"/>
    <w:rsid w:val="00DC26FD"/>
    <w:rPr>
      <w:rFonts w:ascii="Times New Roman" w:hAnsi="Times New Roman"/>
      <w:sz w:val="24"/>
    </w:rPr>
  </w:style>
  <w:style w:type="paragraph" w:customStyle="1" w:styleId="AE2570ED5D764CD7AF9686706F550F4620">
    <w:name w:val="AE2570ED5D764CD7AF9686706F550F4620"/>
    <w:rsid w:val="00DC26FD"/>
    <w:pPr>
      <w:tabs>
        <w:tab w:val="center" w:pos="4680"/>
        <w:tab w:val="right" w:pos="9360"/>
      </w:tabs>
      <w:spacing w:after="0" w:line="240" w:lineRule="auto"/>
    </w:pPr>
    <w:rPr>
      <w:rFonts w:ascii="Times New Roman" w:hAnsi="Times New Roman"/>
      <w:sz w:val="24"/>
    </w:rPr>
  </w:style>
  <w:style w:type="paragraph" w:customStyle="1" w:styleId="D7EFEC5786364F1B9D35D1F5AD828ED8">
    <w:name w:val="D7EFEC5786364F1B9D35D1F5AD828ED8"/>
    <w:rsid w:val="00DC26FD"/>
  </w:style>
  <w:style w:type="paragraph" w:customStyle="1" w:styleId="D8849AAEE9284C878B6ECDEF3E6EB6AA">
    <w:name w:val="D8849AAEE9284C878B6ECDEF3E6EB6AA"/>
    <w:rsid w:val="00DC2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2FA27F-3BAE-44B5-92F8-BBF09BE2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1620</Words>
  <Characters>9234</Characters>
  <Application>Microsoft Office Word</Application>
  <DocSecurity>0</DocSecurity>
  <Lines>76</Lines>
  <Paragraphs>21</Paragraphs>
  <ScaleCrop>false</ScaleCrop>
  <Company>Texas Legislative Council</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2017-03-24T19:52:00Z</cp:lastPrinted>
  <dcterms:created xsi:type="dcterms:W3CDTF">2015-05-29T14:24:00Z</dcterms:created>
  <dcterms:modified xsi:type="dcterms:W3CDTF">2017-03-24T19:54:00Z</dcterms:modified>
</cp:coreProperties>
</file>

<file path=docProps/custom.xml><?xml version="1.0" encoding="utf-8"?>
<op:Properties xmlns:vt="http://schemas.openxmlformats.org/officeDocument/2006/docPropsVTypes" xmlns:op="http://schemas.openxmlformats.org/officeDocument/2006/custom-properties"/>
</file>