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72" w:rsidRDefault="00CC27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3CE9832CD74417AD07219A602DB0BD"/>
          </w:placeholder>
        </w:sdtPr>
        <w:sdtContent>
          <w:r w:rsidRPr="005C2A78">
            <w:rPr>
              <w:rFonts w:cs="Times New Roman"/>
              <w:b/>
              <w:szCs w:val="24"/>
              <w:u w:val="single"/>
            </w:rPr>
            <w:t>BILL ANALYSIS</w:t>
          </w:r>
        </w:sdtContent>
      </w:sdt>
    </w:p>
    <w:p w:rsidR="00CC2772" w:rsidRPr="00585C31" w:rsidRDefault="00CC2772" w:rsidP="000F1DF9">
      <w:pPr>
        <w:spacing w:after="0" w:line="240" w:lineRule="auto"/>
        <w:rPr>
          <w:rFonts w:cs="Times New Roman"/>
          <w:szCs w:val="24"/>
        </w:rPr>
      </w:pPr>
    </w:p>
    <w:p w:rsidR="00CC2772" w:rsidRPr="00585C31" w:rsidRDefault="00CC27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2772" w:rsidTr="000F1DF9">
        <w:tc>
          <w:tcPr>
            <w:tcW w:w="2718" w:type="dxa"/>
          </w:tcPr>
          <w:p w:rsidR="00CC2772" w:rsidRPr="005C2A78" w:rsidRDefault="00CC2772" w:rsidP="006D756B">
            <w:pPr>
              <w:rPr>
                <w:rFonts w:cs="Times New Roman"/>
                <w:szCs w:val="24"/>
              </w:rPr>
            </w:pPr>
            <w:sdt>
              <w:sdtPr>
                <w:rPr>
                  <w:rFonts w:cs="Times New Roman"/>
                  <w:szCs w:val="24"/>
                </w:rPr>
                <w:alias w:val="Agency Title"/>
                <w:tag w:val="AgencyTitleContentControl"/>
                <w:id w:val="1920747753"/>
                <w:lock w:val="sdtContentLocked"/>
                <w:placeholder>
                  <w:docPart w:val="DC54DB9B8C9B475C8918F9AB3BE38C08"/>
                </w:placeholder>
              </w:sdtPr>
              <w:sdtEndPr>
                <w:rPr>
                  <w:rFonts w:cstheme="minorBidi"/>
                  <w:szCs w:val="22"/>
                </w:rPr>
              </w:sdtEndPr>
              <w:sdtContent>
                <w:r>
                  <w:rPr>
                    <w:rFonts w:cs="Times New Roman"/>
                    <w:szCs w:val="24"/>
                  </w:rPr>
                  <w:t>Senate Research Center</w:t>
                </w:r>
              </w:sdtContent>
            </w:sdt>
          </w:p>
        </w:tc>
        <w:tc>
          <w:tcPr>
            <w:tcW w:w="6858" w:type="dxa"/>
          </w:tcPr>
          <w:p w:rsidR="00CC2772" w:rsidRPr="00FF6471" w:rsidRDefault="00CC2772" w:rsidP="000F1DF9">
            <w:pPr>
              <w:jc w:val="right"/>
              <w:rPr>
                <w:rFonts w:cs="Times New Roman"/>
                <w:szCs w:val="24"/>
              </w:rPr>
            </w:pPr>
            <w:sdt>
              <w:sdtPr>
                <w:rPr>
                  <w:rFonts w:cs="Times New Roman"/>
                  <w:szCs w:val="24"/>
                </w:rPr>
                <w:alias w:val="Bill Number"/>
                <w:tag w:val="BillNumberOne"/>
                <w:id w:val="-410784069"/>
                <w:lock w:val="sdtContentLocked"/>
                <w:placeholder>
                  <w:docPart w:val="39C105F957AC411187960EE6C26FC5DD"/>
                </w:placeholder>
              </w:sdtPr>
              <w:sdtContent>
                <w:r>
                  <w:rPr>
                    <w:rFonts w:cs="Times New Roman"/>
                    <w:szCs w:val="24"/>
                  </w:rPr>
                  <w:t>S.B. 1238</w:t>
                </w:r>
              </w:sdtContent>
            </w:sdt>
          </w:p>
        </w:tc>
      </w:tr>
      <w:tr w:rsidR="00CC2772" w:rsidTr="000F1DF9">
        <w:sdt>
          <w:sdtPr>
            <w:rPr>
              <w:rFonts w:cs="Times New Roman"/>
              <w:szCs w:val="24"/>
            </w:rPr>
            <w:alias w:val="TLCNumber"/>
            <w:tag w:val="TLCNumber"/>
            <w:id w:val="-542600604"/>
            <w:lock w:val="sdtLocked"/>
            <w:placeholder>
              <w:docPart w:val="FC702F5F2C2B4DB38C915DEFEC59CFE0"/>
            </w:placeholder>
            <w:showingPlcHdr/>
          </w:sdtPr>
          <w:sdtContent>
            <w:tc>
              <w:tcPr>
                <w:tcW w:w="2718" w:type="dxa"/>
              </w:tcPr>
              <w:p w:rsidR="00CC2772" w:rsidRPr="000F1DF9" w:rsidRDefault="00CC2772" w:rsidP="00450EF0">
                <w:pPr>
                  <w:rPr>
                    <w:rFonts w:cs="Times New Roman"/>
                    <w:szCs w:val="24"/>
                  </w:rPr>
                </w:pPr>
              </w:p>
            </w:tc>
          </w:sdtContent>
        </w:sdt>
        <w:tc>
          <w:tcPr>
            <w:tcW w:w="6858" w:type="dxa"/>
          </w:tcPr>
          <w:p w:rsidR="00CC2772" w:rsidRPr="005C2A78" w:rsidRDefault="00CC2772" w:rsidP="006D756B">
            <w:pPr>
              <w:jc w:val="right"/>
              <w:rPr>
                <w:rFonts w:cs="Times New Roman"/>
                <w:szCs w:val="24"/>
              </w:rPr>
            </w:pPr>
            <w:sdt>
              <w:sdtPr>
                <w:rPr>
                  <w:rFonts w:cs="Times New Roman"/>
                  <w:szCs w:val="24"/>
                </w:rPr>
                <w:alias w:val="Author Label"/>
                <w:tag w:val="By"/>
                <w:id w:val="72399597"/>
                <w:lock w:val="sdtLocked"/>
                <w:placeholder>
                  <w:docPart w:val="AA794044CC73473585728BE99C217F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B6F8008C8D4E8FB3BCE79659156E0A"/>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19BA3C40633B494E976237A5BCBB687A"/>
                </w:placeholder>
                <w:showingPlcHdr/>
              </w:sdtPr>
              <w:sdtContent/>
            </w:sdt>
          </w:p>
        </w:tc>
      </w:tr>
      <w:tr w:rsidR="00CC2772" w:rsidTr="000F1DF9">
        <w:tc>
          <w:tcPr>
            <w:tcW w:w="2718" w:type="dxa"/>
          </w:tcPr>
          <w:p w:rsidR="00CC2772" w:rsidRPr="00BC7495" w:rsidRDefault="00CC2772" w:rsidP="000F1DF9">
            <w:pPr>
              <w:rPr>
                <w:rFonts w:cs="Times New Roman"/>
                <w:szCs w:val="24"/>
              </w:rPr>
            </w:pPr>
          </w:p>
        </w:tc>
        <w:sdt>
          <w:sdtPr>
            <w:rPr>
              <w:rFonts w:cs="Times New Roman"/>
              <w:szCs w:val="24"/>
            </w:rPr>
            <w:alias w:val="Committee"/>
            <w:tag w:val="Committee"/>
            <w:id w:val="1914272295"/>
            <w:lock w:val="sdtContentLocked"/>
            <w:placeholder>
              <w:docPart w:val="B183DAACE88E416496432C1C8DE25170"/>
            </w:placeholder>
          </w:sdtPr>
          <w:sdtContent>
            <w:tc>
              <w:tcPr>
                <w:tcW w:w="6858" w:type="dxa"/>
              </w:tcPr>
              <w:p w:rsidR="00CC2772" w:rsidRPr="00FF6471" w:rsidRDefault="00CC2772" w:rsidP="000F1DF9">
                <w:pPr>
                  <w:jc w:val="right"/>
                  <w:rPr>
                    <w:rFonts w:cs="Times New Roman"/>
                    <w:szCs w:val="24"/>
                  </w:rPr>
                </w:pPr>
                <w:r>
                  <w:rPr>
                    <w:rFonts w:cs="Times New Roman"/>
                    <w:szCs w:val="24"/>
                  </w:rPr>
                  <w:t>Intergovernmental Relations</w:t>
                </w:r>
              </w:p>
            </w:tc>
          </w:sdtContent>
        </w:sdt>
      </w:tr>
      <w:tr w:rsidR="00CC2772" w:rsidTr="000F1DF9">
        <w:tc>
          <w:tcPr>
            <w:tcW w:w="2718" w:type="dxa"/>
          </w:tcPr>
          <w:p w:rsidR="00CC2772" w:rsidRPr="00BC7495" w:rsidRDefault="00CC2772" w:rsidP="000F1DF9">
            <w:pPr>
              <w:rPr>
                <w:rFonts w:cs="Times New Roman"/>
                <w:szCs w:val="24"/>
              </w:rPr>
            </w:pPr>
          </w:p>
        </w:tc>
        <w:sdt>
          <w:sdtPr>
            <w:rPr>
              <w:rFonts w:cs="Times New Roman"/>
              <w:szCs w:val="24"/>
            </w:rPr>
            <w:alias w:val="Date"/>
            <w:tag w:val="DateContentControl"/>
            <w:id w:val="1178081906"/>
            <w:lock w:val="sdtLocked"/>
            <w:placeholder>
              <w:docPart w:val="FB8FD2099C314A9CBA38BF4159B3E7F0"/>
            </w:placeholder>
            <w:date w:fullDate="2017-06-20T00:00:00Z">
              <w:dateFormat w:val="M/d/yyyy"/>
              <w:lid w:val="en-US"/>
              <w:storeMappedDataAs w:val="dateTime"/>
              <w:calendar w:val="gregorian"/>
            </w:date>
          </w:sdtPr>
          <w:sdtContent>
            <w:tc>
              <w:tcPr>
                <w:tcW w:w="6858" w:type="dxa"/>
              </w:tcPr>
              <w:p w:rsidR="00CC2772" w:rsidRPr="00FF6471" w:rsidRDefault="00CC2772" w:rsidP="00C70695">
                <w:pPr>
                  <w:jc w:val="right"/>
                  <w:rPr>
                    <w:rFonts w:cs="Times New Roman"/>
                    <w:szCs w:val="24"/>
                  </w:rPr>
                </w:pPr>
                <w:r>
                  <w:rPr>
                    <w:rFonts w:cs="Times New Roman"/>
                    <w:szCs w:val="24"/>
                  </w:rPr>
                  <w:t>6/20/2017</w:t>
                </w:r>
              </w:p>
            </w:tc>
          </w:sdtContent>
        </w:sdt>
      </w:tr>
      <w:tr w:rsidR="00CC2772" w:rsidTr="000F1DF9">
        <w:tc>
          <w:tcPr>
            <w:tcW w:w="2718" w:type="dxa"/>
          </w:tcPr>
          <w:p w:rsidR="00CC2772" w:rsidRPr="00BC7495" w:rsidRDefault="00CC2772" w:rsidP="000F1DF9">
            <w:pPr>
              <w:rPr>
                <w:rFonts w:cs="Times New Roman"/>
                <w:szCs w:val="24"/>
              </w:rPr>
            </w:pPr>
          </w:p>
        </w:tc>
        <w:sdt>
          <w:sdtPr>
            <w:rPr>
              <w:rFonts w:cs="Times New Roman"/>
              <w:szCs w:val="24"/>
            </w:rPr>
            <w:alias w:val="BA Version"/>
            <w:tag w:val="BAVersion"/>
            <w:id w:val="-1685590809"/>
            <w:lock w:val="sdtContentLocked"/>
            <w:placeholder>
              <w:docPart w:val="6B0B22802D114000A0F21B0EA6578066"/>
            </w:placeholder>
          </w:sdtPr>
          <w:sdtContent>
            <w:tc>
              <w:tcPr>
                <w:tcW w:w="6858" w:type="dxa"/>
              </w:tcPr>
              <w:p w:rsidR="00CC2772" w:rsidRPr="00FF6471" w:rsidRDefault="00CC2772" w:rsidP="000F1DF9">
                <w:pPr>
                  <w:jc w:val="right"/>
                  <w:rPr>
                    <w:rFonts w:cs="Times New Roman"/>
                    <w:szCs w:val="24"/>
                  </w:rPr>
                </w:pPr>
                <w:r>
                  <w:rPr>
                    <w:rFonts w:cs="Times New Roman"/>
                    <w:szCs w:val="24"/>
                  </w:rPr>
                  <w:t>Enrolled</w:t>
                </w:r>
              </w:p>
            </w:tc>
          </w:sdtContent>
        </w:sdt>
      </w:tr>
    </w:tbl>
    <w:p w:rsidR="00CC2772" w:rsidRPr="00FF6471" w:rsidRDefault="00CC2772" w:rsidP="000F1DF9">
      <w:pPr>
        <w:spacing w:after="0" w:line="240" w:lineRule="auto"/>
        <w:rPr>
          <w:rFonts w:cs="Times New Roman"/>
          <w:szCs w:val="24"/>
        </w:rPr>
      </w:pPr>
    </w:p>
    <w:p w:rsidR="00CC2772" w:rsidRPr="00FF6471" w:rsidRDefault="00CC2772" w:rsidP="000F1DF9">
      <w:pPr>
        <w:spacing w:after="0" w:line="240" w:lineRule="auto"/>
        <w:rPr>
          <w:rFonts w:cs="Times New Roman"/>
          <w:szCs w:val="24"/>
        </w:rPr>
      </w:pPr>
    </w:p>
    <w:p w:rsidR="00CC2772" w:rsidRPr="00FF6471" w:rsidRDefault="00CC27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8D999461FA4B9B9944488BD561EEB7"/>
        </w:placeholder>
      </w:sdtPr>
      <w:sdtContent>
        <w:p w:rsidR="00CC2772" w:rsidRDefault="00CC27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D9413FBDA94C88906D0DC434566F00"/>
        </w:placeholder>
      </w:sdtPr>
      <w:sdtContent>
        <w:p w:rsidR="00CC2772" w:rsidRDefault="00CC2772" w:rsidP="00C70695">
          <w:pPr>
            <w:pStyle w:val="NormalWeb"/>
            <w:spacing w:before="0" w:beforeAutospacing="0" w:after="0" w:afterAutospacing="0"/>
            <w:jc w:val="both"/>
            <w:divId w:val="1571766831"/>
            <w:rPr>
              <w:rFonts w:eastAsia="Times New Roman" w:cstheme="minorBidi"/>
              <w:bCs/>
              <w:szCs w:val="22"/>
            </w:rPr>
          </w:pPr>
        </w:p>
        <w:p w:rsidR="00CC2772" w:rsidRPr="00450EF0" w:rsidRDefault="00CC2772" w:rsidP="00C70695">
          <w:pPr>
            <w:pStyle w:val="NormalWeb"/>
            <w:spacing w:before="0" w:beforeAutospacing="0" w:after="0" w:afterAutospacing="0"/>
            <w:jc w:val="both"/>
            <w:divId w:val="1571766831"/>
          </w:pPr>
          <w:r w:rsidRPr="00450EF0">
            <w:t>The Texas Department of Housing and Community Affairs (TDHCA)'s Housing Tax Credit (HTC) Program is one of the primary means of directing private capital toward the development and preservation of affordable rental housing for low-income households. Tax credits are awarded to eligible participants to offset a portion of their federal tax liability in exchange for the production or preservation of affordable rental housing. There are two type</w:t>
          </w:r>
          <w:r>
            <w:t>s of tax credits: competitive (nine percent) and non-competitive (four</w:t>
          </w:r>
          <w:r w:rsidRPr="00450EF0">
            <w:t xml:space="preserve"> percent). There are </w:t>
          </w:r>
          <w:r>
            <w:t>separate pools of competitive (nine</w:t>
          </w:r>
          <w:r w:rsidRPr="00450EF0">
            <w:t xml:space="preserve"> percent) tax credits reserved to qualified nonprofit developments and for an "at-risk set</w:t>
          </w:r>
          <w:r>
            <w:t>-</w:t>
          </w:r>
          <w:r w:rsidRPr="00450EF0">
            <w:t>aside."</w:t>
          </w:r>
        </w:p>
        <w:p w:rsidR="00CC2772" w:rsidRPr="00450EF0" w:rsidRDefault="00CC2772" w:rsidP="00C70695">
          <w:pPr>
            <w:pStyle w:val="NormalWeb"/>
            <w:spacing w:before="0" w:beforeAutospacing="0" w:after="0" w:afterAutospacing="0"/>
            <w:jc w:val="both"/>
            <w:divId w:val="1571766831"/>
          </w:pPr>
          <w:r w:rsidRPr="00450EF0">
            <w:t> </w:t>
          </w:r>
        </w:p>
        <w:p w:rsidR="00CC2772" w:rsidRPr="00450EF0" w:rsidRDefault="00CC2772" w:rsidP="00C70695">
          <w:pPr>
            <w:pStyle w:val="NormalWeb"/>
            <w:spacing w:before="0" w:beforeAutospacing="0" w:after="0" w:afterAutospacing="0"/>
            <w:jc w:val="both"/>
            <w:divId w:val="1571766831"/>
          </w:pPr>
          <w:r w:rsidRPr="00450EF0">
            <w:t xml:space="preserve">S.B. 1238 amends the definition of "at-risk development" to clarify that a Texas public housing authority (PHA) and/or a public facility corporation (PFC) of a </w:t>
          </w:r>
          <w:r>
            <w:t>PHA</w:t>
          </w:r>
          <w:r w:rsidRPr="00450EF0">
            <w:t xml:space="preserve"> is eligible to seek low-income housing tax credits (LIHTC) in the separate, at-risk set-aside tax credits awarded through TDHCA. The bill also allows a Texas PHA that has previously converted units through the federal Rental Assistance Demonstration (RAD) </w:t>
          </w:r>
          <w:r>
            <w:t>p</w:t>
          </w:r>
          <w:r w:rsidRPr="00450EF0">
            <w:t>rogram with at</w:t>
          </w:r>
          <w:r>
            <w:t>-risk set-</w:t>
          </w:r>
          <w:r w:rsidRPr="00450EF0">
            <w:t>aside LIHTC to convert any remaining public housing units in the development.</w:t>
          </w:r>
        </w:p>
        <w:p w:rsidR="00CC2772" w:rsidRPr="00D70925" w:rsidRDefault="00CC2772" w:rsidP="00C70695">
          <w:pPr>
            <w:spacing w:after="0" w:line="240" w:lineRule="auto"/>
            <w:jc w:val="both"/>
            <w:rPr>
              <w:rFonts w:eastAsia="Times New Roman" w:cs="Times New Roman"/>
              <w:bCs/>
              <w:szCs w:val="24"/>
            </w:rPr>
          </w:pPr>
        </w:p>
      </w:sdtContent>
    </w:sdt>
    <w:p w:rsidR="00CC2772" w:rsidRDefault="00CC27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1238 </w:t>
      </w:r>
      <w:bookmarkStart w:id="1" w:name="AmendsCurrentLaw"/>
      <w:bookmarkEnd w:id="1"/>
      <w:r>
        <w:rPr>
          <w:rFonts w:cs="Times New Roman"/>
          <w:szCs w:val="24"/>
        </w:rPr>
        <w:t>amends current law relating to the eligibility of certain at-risk developments to receive low income housing tax credits.</w:t>
      </w:r>
    </w:p>
    <w:p w:rsidR="00CC2772" w:rsidRPr="00DF785B" w:rsidRDefault="00CC2772" w:rsidP="000F1DF9">
      <w:pPr>
        <w:spacing w:after="0" w:line="240" w:lineRule="auto"/>
        <w:jc w:val="both"/>
        <w:rPr>
          <w:rFonts w:eastAsia="Times New Roman" w:cs="Times New Roman"/>
          <w:szCs w:val="24"/>
        </w:rPr>
      </w:pPr>
    </w:p>
    <w:p w:rsidR="00CC2772" w:rsidRPr="005C2A78" w:rsidRDefault="00CC27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D5D007D71143ECAD71245D2DB3AB3C"/>
          </w:placeholder>
        </w:sdtPr>
        <w:sdtContent>
          <w:r>
            <w:rPr>
              <w:rFonts w:eastAsia="Times New Roman" w:cs="Times New Roman"/>
              <w:b/>
              <w:szCs w:val="24"/>
              <w:u w:val="single"/>
            </w:rPr>
            <w:t>RULEMAKING AUTHORITY</w:t>
          </w:r>
        </w:sdtContent>
      </w:sdt>
    </w:p>
    <w:p w:rsidR="00CC2772" w:rsidRPr="006529C4" w:rsidRDefault="00CC2772" w:rsidP="00774EC7">
      <w:pPr>
        <w:spacing w:after="0" w:line="240" w:lineRule="auto"/>
        <w:jc w:val="both"/>
        <w:rPr>
          <w:rFonts w:cs="Times New Roman"/>
          <w:szCs w:val="24"/>
        </w:rPr>
      </w:pPr>
    </w:p>
    <w:p w:rsidR="00CC2772" w:rsidRPr="006529C4" w:rsidRDefault="00CC27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2772" w:rsidRPr="006529C4" w:rsidRDefault="00CC2772" w:rsidP="00774EC7">
      <w:pPr>
        <w:spacing w:after="0" w:line="240" w:lineRule="auto"/>
        <w:jc w:val="both"/>
        <w:rPr>
          <w:rFonts w:cs="Times New Roman"/>
          <w:szCs w:val="24"/>
        </w:rPr>
      </w:pPr>
    </w:p>
    <w:p w:rsidR="00CC2772" w:rsidRPr="005C2A78" w:rsidRDefault="00CC27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867D06E846472397BE8F353B4D74AC"/>
          </w:placeholder>
        </w:sdtPr>
        <w:sdtContent>
          <w:r>
            <w:rPr>
              <w:rFonts w:eastAsia="Times New Roman" w:cs="Times New Roman"/>
              <w:b/>
              <w:szCs w:val="24"/>
              <w:u w:val="single"/>
            </w:rPr>
            <w:t>SECTION BY SECTION ANALYSIS</w:t>
          </w:r>
        </w:sdtContent>
      </w:sdt>
    </w:p>
    <w:p w:rsidR="00CC2772" w:rsidRPr="005C2A78" w:rsidRDefault="00CC2772" w:rsidP="000F1DF9">
      <w:pPr>
        <w:spacing w:after="0" w:line="240" w:lineRule="auto"/>
        <w:jc w:val="both"/>
        <w:rPr>
          <w:rFonts w:eastAsia="Times New Roman" w:cs="Times New Roman"/>
          <w:szCs w:val="24"/>
        </w:rPr>
      </w:pPr>
    </w:p>
    <w:p w:rsidR="00CC2772" w:rsidRPr="005C2A78" w:rsidRDefault="00CC277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2306.6702(a)(5), Government Code, to redefine "at-risk development." </w:t>
      </w:r>
    </w:p>
    <w:p w:rsidR="00CC2772" w:rsidRPr="005C2A78" w:rsidRDefault="00CC2772" w:rsidP="000F1DF9">
      <w:pPr>
        <w:spacing w:after="0" w:line="240" w:lineRule="auto"/>
        <w:jc w:val="both"/>
        <w:rPr>
          <w:rFonts w:eastAsia="Times New Roman" w:cs="Times New Roman"/>
          <w:szCs w:val="24"/>
        </w:rPr>
      </w:pPr>
    </w:p>
    <w:p w:rsidR="00CC2772" w:rsidRDefault="00CC277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2306.6714, Government Code, by adding Subsection (a-2), as follows:</w:t>
      </w:r>
    </w:p>
    <w:p w:rsidR="00CC2772" w:rsidRDefault="00CC2772" w:rsidP="000F1DF9">
      <w:pPr>
        <w:spacing w:after="0" w:line="240" w:lineRule="auto"/>
        <w:jc w:val="both"/>
        <w:rPr>
          <w:rFonts w:eastAsia="Times New Roman" w:cs="Times New Roman"/>
          <w:szCs w:val="24"/>
        </w:rPr>
      </w:pPr>
    </w:p>
    <w:p w:rsidR="00CC2772" w:rsidRPr="005C2A78" w:rsidRDefault="00CC2772" w:rsidP="00DF785B">
      <w:pPr>
        <w:spacing w:after="0" w:line="240" w:lineRule="auto"/>
        <w:ind w:left="720"/>
        <w:jc w:val="both"/>
        <w:rPr>
          <w:rFonts w:eastAsia="Times New Roman" w:cs="Times New Roman"/>
          <w:szCs w:val="24"/>
        </w:rPr>
      </w:pPr>
      <w:r>
        <w:rPr>
          <w:rFonts w:eastAsia="Times New Roman" w:cs="Times New Roman"/>
          <w:szCs w:val="24"/>
        </w:rPr>
        <w:t xml:space="preserve">(a-2) Provides that, notwithstanding any other provision of law, an at-risk development described by Section 2306.6702(a)(5)(B) (relating to defining "at-risk development" as a development that proposes to rehabilitate or reconstruct certain housing units) that was previously allocated housing tax credits set aside under Subsection (a) (relating to requiring the Texas Department of Housing and Community Affairs to set aside housing tax credits for eligible at-risk development) does not lose eligibility for those credits if the portion of units reserved for public housing as a condition of eligibility for the credits under Subsection (a-1)(2) (relating to the eligibility of an at-risk development for housing tax credits) are later converted under the Rental Assistance Demonstration program administered by the United States Department of Housing and Urban Development as specified by the Consolidated and Further Continuing Appropriations Act, 2012 (Pub. L. No. 112-55) and its subsequent amendments. </w:t>
      </w:r>
    </w:p>
    <w:p w:rsidR="00CC2772" w:rsidRPr="005C2A78" w:rsidRDefault="00CC2772" w:rsidP="000F1DF9">
      <w:pPr>
        <w:spacing w:after="0" w:line="240" w:lineRule="auto"/>
        <w:jc w:val="both"/>
        <w:rPr>
          <w:rFonts w:eastAsia="Times New Roman" w:cs="Times New Roman"/>
          <w:szCs w:val="24"/>
        </w:rPr>
      </w:pPr>
    </w:p>
    <w:p w:rsidR="00CC2772" w:rsidRPr="0074611C" w:rsidRDefault="00CC2772"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CC2772" w:rsidRPr="0074611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11" w:rsidRDefault="00811C11" w:rsidP="000F1DF9">
      <w:pPr>
        <w:spacing w:after="0" w:line="240" w:lineRule="auto"/>
      </w:pPr>
      <w:r>
        <w:separator/>
      </w:r>
    </w:p>
  </w:endnote>
  <w:endnote w:type="continuationSeparator" w:id="0">
    <w:p w:rsidR="00811C11" w:rsidRDefault="00811C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1C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2772">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2772">
                <w:rPr>
                  <w:sz w:val="20"/>
                  <w:szCs w:val="20"/>
                </w:rPr>
                <w:t>S.B. 1238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277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1C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27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277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11" w:rsidRDefault="00811C11" w:rsidP="000F1DF9">
      <w:pPr>
        <w:spacing w:after="0" w:line="240" w:lineRule="auto"/>
      </w:pPr>
      <w:r>
        <w:separator/>
      </w:r>
    </w:p>
  </w:footnote>
  <w:footnote w:type="continuationSeparator" w:id="0">
    <w:p w:rsidR="00811C11" w:rsidRDefault="00811C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1C11"/>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277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277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27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7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30B8" w:rsidP="009C30B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3CE9832CD74417AD07219A602DB0BD"/>
        <w:category>
          <w:name w:val="General"/>
          <w:gallery w:val="placeholder"/>
        </w:category>
        <w:types>
          <w:type w:val="bbPlcHdr"/>
        </w:types>
        <w:behaviors>
          <w:behavior w:val="content"/>
        </w:behaviors>
        <w:guid w:val="{D38FAF16-1176-4AEE-934E-333A4257F8E4}"/>
      </w:docPartPr>
      <w:docPartBody>
        <w:p w:rsidR="00000000" w:rsidRDefault="004141B5"/>
      </w:docPartBody>
    </w:docPart>
    <w:docPart>
      <w:docPartPr>
        <w:name w:val="DC54DB9B8C9B475C8918F9AB3BE38C08"/>
        <w:category>
          <w:name w:val="General"/>
          <w:gallery w:val="placeholder"/>
        </w:category>
        <w:types>
          <w:type w:val="bbPlcHdr"/>
        </w:types>
        <w:behaviors>
          <w:behavior w:val="content"/>
        </w:behaviors>
        <w:guid w:val="{F22C1A6A-7921-465F-A8DC-0CC22A33F360}"/>
      </w:docPartPr>
      <w:docPartBody>
        <w:p w:rsidR="00000000" w:rsidRDefault="004141B5"/>
      </w:docPartBody>
    </w:docPart>
    <w:docPart>
      <w:docPartPr>
        <w:name w:val="39C105F957AC411187960EE6C26FC5DD"/>
        <w:category>
          <w:name w:val="General"/>
          <w:gallery w:val="placeholder"/>
        </w:category>
        <w:types>
          <w:type w:val="bbPlcHdr"/>
        </w:types>
        <w:behaviors>
          <w:behavior w:val="content"/>
        </w:behaviors>
        <w:guid w:val="{9D83D716-B9C8-46D4-9EFB-077FEC87F180}"/>
      </w:docPartPr>
      <w:docPartBody>
        <w:p w:rsidR="00000000" w:rsidRDefault="004141B5"/>
      </w:docPartBody>
    </w:docPart>
    <w:docPart>
      <w:docPartPr>
        <w:name w:val="FC702F5F2C2B4DB38C915DEFEC59CFE0"/>
        <w:category>
          <w:name w:val="General"/>
          <w:gallery w:val="placeholder"/>
        </w:category>
        <w:types>
          <w:type w:val="bbPlcHdr"/>
        </w:types>
        <w:behaviors>
          <w:behavior w:val="content"/>
        </w:behaviors>
        <w:guid w:val="{D5D6926D-7CF5-4A87-BBFB-BC4782616201}"/>
      </w:docPartPr>
      <w:docPartBody>
        <w:p w:rsidR="00000000" w:rsidRDefault="004141B5"/>
      </w:docPartBody>
    </w:docPart>
    <w:docPart>
      <w:docPartPr>
        <w:name w:val="AA794044CC73473585728BE99C217FDB"/>
        <w:category>
          <w:name w:val="General"/>
          <w:gallery w:val="placeholder"/>
        </w:category>
        <w:types>
          <w:type w:val="bbPlcHdr"/>
        </w:types>
        <w:behaviors>
          <w:behavior w:val="content"/>
        </w:behaviors>
        <w:guid w:val="{B6F4E5E0-10E7-4384-89B2-D9C987F33D6E}"/>
      </w:docPartPr>
      <w:docPartBody>
        <w:p w:rsidR="00000000" w:rsidRDefault="004141B5"/>
      </w:docPartBody>
    </w:docPart>
    <w:docPart>
      <w:docPartPr>
        <w:name w:val="9DB6F8008C8D4E8FB3BCE79659156E0A"/>
        <w:category>
          <w:name w:val="General"/>
          <w:gallery w:val="placeholder"/>
        </w:category>
        <w:types>
          <w:type w:val="bbPlcHdr"/>
        </w:types>
        <w:behaviors>
          <w:behavior w:val="content"/>
        </w:behaviors>
        <w:guid w:val="{B1216AD0-E810-4D7F-A3D5-42579E891705}"/>
      </w:docPartPr>
      <w:docPartBody>
        <w:p w:rsidR="00000000" w:rsidRDefault="004141B5"/>
      </w:docPartBody>
    </w:docPart>
    <w:docPart>
      <w:docPartPr>
        <w:name w:val="19BA3C40633B494E976237A5BCBB687A"/>
        <w:category>
          <w:name w:val="General"/>
          <w:gallery w:val="placeholder"/>
        </w:category>
        <w:types>
          <w:type w:val="bbPlcHdr"/>
        </w:types>
        <w:behaviors>
          <w:behavior w:val="content"/>
        </w:behaviors>
        <w:guid w:val="{643D7AB8-22C4-4424-BA80-1FDCA5B6B1DB}"/>
      </w:docPartPr>
      <w:docPartBody>
        <w:p w:rsidR="00000000" w:rsidRDefault="004141B5"/>
      </w:docPartBody>
    </w:docPart>
    <w:docPart>
      <w:docPartPr>
        <w:name w:val="B183DAACE88E416496432C1C8DE25170"/>
        <w:category>
          <w:name w:val="General"/>
          <w:gallery w:val="placeholder"/>
        </w:category>
        <w:types>
          <w:type w:val="bbPlcHdr"/>
        </w:types>
        <w:behaviors>
          <w:behavior w:val="content"/>
        </w:behaviors>
        <w:guid w:val="{5DA10FD7-6DEC-4D5D-B557-25C148B8A1B1}"/>
      </w:docPartPr>
      <w:docPartBody>
        <w:p w:rsidR="00000000" w:rsidRDefault="004141B5"/>
      </w:docPartBody>
    </w:docPart>
    <w:docPart>
      <w:docPartPr>
        <w:name w:val="FB8FD2099C314A9CBA38BF4159B3E7F0"/>
        <w:category>
          <w:name w:val="General"/>
          <w:gallery w:val="placeholder"/>
        </w:category>
        <w:types>
          <w:type w:val="bbPlcHdr"/>
        </w:types>
        <w:behaviors>
          <w:behavior w:val="content"/>
        </w:behaviors>
        <w:guid w:val="{0775E612-2072-4273-BB99-6D200ADA8CDC}"/>
      </w:docPartPr>
      <w:docPartBody>
        <w:p w:rsidR="00000000" w:rsidRDefault="009C30B8" w:rsidP="009C30B8">
          <w:pPr>
            <w:pStyle w:val="FB8FD2099C314A9CBA38BF4159B3E7F0"/>
          </w:pPr>
          <w:r w:rsidRPr="00A30DD1">
            <w:rPr>
              <w:rStyle w:val="PlaceholderText"/>
            </w:rPr>
            <w:t>Click here to enter a date.</w:t>
          </w:r>
        </w:p>
      </w:docPartBody>
    </w:docPart>
    <w:docPart>
      <w:docPartPr>
        <w:name w:val="6B0B22802D114000A0F21B0EA6578066"/>
        <w:category>
          <w:name w:val="General"/>
          <w:gallery w:val="placeholder"/>
        </w:category>
        <w:types>
          <w:type w:val="bbPlcHdr"/>
        </w:types>
        <w:behaviors>
          <w:behavior w:val="content"/>
        </w:behaviors>
        <w:guid w:val="{2D4742A3-381A-447A-8478-B07C4A12D799}"/>
      </w:docPartPr>
      <w:docPartBody>
        <w:p w:rsidR="00000000" w:rsidRDefault="004141B5"/>
      </w:docPartBody>
    </w:docPart>
    <w:docPart>
      <w:docPartPr>
        <w:name w:val="9E8D999461FA4B9B9944488BD561EEB7"/>
        <w:category>
          <w:name w:val="General"/>
          <w:gallery w:val="placeholder"/>
        </w:category>
        <w:types>
          <w:type w:val="bbPlcHdr"/>
        </w:types>
        <w:behaviors>
          <w:behavior w:val="content"/>
        </w:behaviors>
        <w:guid w:val="{0EA9C9A1-0B3F-4C53-AE72-06AD1E309C92}"/>
      </w:docPartPr>
      <w:docPartBody>
        <w:p w:rsidR="00000000" w:rsidRDefault="004141B5"/>
      </w:docPartBody>
    </w:docPart>
    <w:docPart>
      <w:docPartPr>
        <w:name w:val="10D9413FBDA94C88906D0DC434566F00"/>
        <w:category>
          <w:name w:val="General"/>
          <w:gallery w:val="placeholder"/>
        </w:category>
        <w:types>
          <w:type w:val="bbPlcHdr"/>
        </w:types>
        <w:behaviors>
          <w:behavior w:val="content"/>
        </w:behaviors>
        <w:guid w:val="{5BA656DB-BAA3-4598-A7C1-CD2777FE590F}"/>
      </w:docPartPr>
      <w:docPartBody>
        <w:p w:rsidR="00000000" w:rsidRDefault="009C30B8" w:rsidP="009C30B8">
          <w:pPr>
            <w:pStyle w:val="10D9413FBDA94C88906D0DC434566F00"/>
          </w:pPr>
          <w:r>
            <w:rPr>
              <w:rFonts w:eastAsia="Times New Roman" w:cs="Times New Roman"/>
              <w:bCs/>
              <w:szCs w:val="24"/>
            </w:rPr>
            <w:t xml:space="preserve"> </w:t>
          </w:r>
        </w:p>
      </w:docPartBody>
    </w:docPart>
    <w:docPart>
      <w:docPartPr>
        <w:name w:val="B1D5D007D71143ECAD71245D2DB3AB3C"/>
        <w:category>
          <w:name w:val="General"/>
          <w:gallery w:val="placeholder"/>
        </w:category>
        <w:types>
          <w:type w:val="bbPlcHdr"/>
        </w:types>
        <w:behaviors>
          <w:behavior w:val="content"/>
        </w:behaviors>
        <w:guid w:val="{FBFF5C84-7B86-4BE5-867A-CC6D10C3E109}"/>
      </w:docPartPr>
      <w:docPartBody>
        <w:p w:rsidR="00000000" w:rsidRDefault="004141B5"/>
      </w:docPartBody>
    </w:docPart>
    <w:docPart>
      <w:docPartPr>
        <w:name w:val="78867D06E846472397BE8F353B4D74AC"/>
        <w:category>
          <w:name w:val="General"/>
          <w:gallery w:val="placeholder"/>
        </w:category>
        <w:types>
          <w:type w:val="bbPlcHdr"/>
        </w:types>
        <w:behaviors>
          <w:behavior w:val="content"/>
        </w:behaviors>
        <w:guid w:val="{7ADAA4C3-693D-40D7-B397-1FEC1D2E4346}"/>
      </w:docPartPr>
      <w:docPartBody>
        <w:p w:rsidR="00000000" w:rsidRDefault="004141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41B5"/>
    <w:rsid w:val="004816E8"/>
    <w:rsid w:val="00493D6D"/>
    <w:rsid w:val="00576003"/>
    <w:rsid w:val="005B408E"/>
    <w:rsid w:val="005D31F2"/>
    <w:rsid w:val="00635291"/>
    <w:rsid w:val="006959CC"/>
    <w:rsid w:val="00696675"/>
    <w:rsid w:val="006B0016"/>
    <w:rsid w:val="008C55F7"/>
    <w:rsid w:val="0090598B"/>
    <w:rsid w:val="00984D6C"/>
    <w:rsid w:val="009C30B8"/>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0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30B8"/>
    <w:rPr>
      <w:rFonts w:ascii="Times New Roman" w:hAnsi="Times New Roman"/>
      <w:sz w:val="24"/>
    </w:rPr>
  </w:style>
  <w:style w:type="paragraph" w:customStyle="1" w:styleId="487D89B4F8B34DB4967D41FE18F7F88D7">
    <w:name w:val="487D89B4F8B34DB4967D41FE18F7F88D7"/>
    <w:rsid w:val="009C30B8"/>
    <w:rPr>
      <w:rFonts w:ascii="Times New Roman" w:hAnsi="Times New Roman"/>
      <w:sz w:val="24"/>
    </w:rPr>
  </w:style>
  <w:style w:type="paragraph" w:customStyle="1" w:styleId="AE2570ED5D764CD7AF9686706F550F4620">
    <w:name w:val="AE2570ED5D764CD7AF9686706F550F4620"/>
    <w:rsid w:val="009C30B8"/>
    <w:pPr>
      <w:tabs>
        <w:tab w:val="center" w:pos="4680"/>
        <w:tab w:val="right" w:pos="9360"/>
      </w:tabs>
      <w:spacing w:after="0" w:line="240" w:lineRule="auto"/>
    </w:pPr>
    <w:rPr>
      <w:rFonts w:ascii="Times New Roman" w:hAnsi="Times New Roman"/>
      <w:sz w:val="24"/>
    </w:rPr>
  </w:style>
  <w:style w:type="paragraph" w:customStyle="1" w:styleId="FB8FD2099C314A9CBA38BF4159B3E7F0">
    <w:name w:val="FB8FD2099C314A9CBA38BF4159B3E7F0"/>
    <w:rsid w:val="009C30B8"/>
  </w:style>
  <w:style w:type="paragraph" w:customStyle="1" w:styleId="10D9413FBDA94C88906D0DC434566F00">
    <w:name w:val="10D9413FBDA94C88906D0DC434566F00"/>
    <w:rsid w:val="009C30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0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30B8"/>
    <w:rPr>
      <w:rFonts w:ascii="Times New Roman" w:hAnsi="Times New Roman"/>
      <w:sz w:val="24"/>
    </w:rPr>
  </w:style>
  <w:style w:type="paragraph" w:customStyle="1" w:styleId="487D89B4F8B34DB4967D41FE18F7F88D7">
    <w:name w:val="487D89B4F8B34DB4967D41FE18F7F88D7"/>
    <w:rsid w:val="009C30B8"/>
    <w:rPr>
      <w:rFonts w:ascii="Times New Roman" w:hAnsi="Times New Roman"/>
      <w:sz w:val="24"/>
    </w:rPr>
  </w:style>
  <w:style w:type="paragraph" w:customStyle="1" w:styleId="AE2570ED5D764CD7AF9686706F550F4620">
    <w:name w:val="AE2570ED5D764CD7AF9686706F550F4620"/>
    <w:rsid w:val="009C30B8"/>
    <w:pPr>
      <w:tabs>
        <w:tab w:val="center" w:pos="4680"/>
        <w:tab w:val="right" w:pos="9360"/>
      </w:tabs>
      <w:spacing w:after="0" w:line="240" w:lineRule="auto"/>
    </w:pPr>
    <w:rPr>
      <w:rFonts w:ascii="Times New Roman" w:hAnsi="Times New Roman"/>
      <w:sz w:val="24"/>
    </w:rPr>
  </w:style>
  <w:style w:type="paragraph" w:customStyle="1" w:styleId="FB8FD2099C314A9CBA38BF4159B3E7F0">
    <w:name w:val="FB8FD2099C314A9CBA38BF4159B3E7F0"/>
    <w:rsid w:val="009C30B8"/>
  </w:style>
  <w:style w:type="paragraph" w:customStyle="1" w:styleId="10D9413FBDA94C88906D0DC434566F00">
    <w:name w:val="10D9413FBDA94C88906D0DC434566F00"/>
    <w:rsid w:val="009C3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AA550A-A55E-411A-9251-0BD83362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441</Words>
  <Characters>2514</Characters>
  <Application>Microsoft Office Word</Application>
  <DocSecurity>0</DocSecurity>
  <Lines>20</Lines>
  <Paragraphs>5</Paragraphs>
  <ScaleCrop>false</ScaleCrop>
  <Company>Texas Legislative Council</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2017-06-20T20:53:00Z</cp:lastPrinted>
  <dcterms:created xsi:type="dcterms:W3CDTF">2015-05-29T14:24:00Z</dcterms:created>
  <dcterms:modified xsi:type="dcterms:W3CDTF">2017-06-20T20:53:00Z</dcterms:modified>
</cp:coreProperties>
</file>

<file path=docProps/custom.xml><?xml version="1.0" encoding="utf-8"?>
<op:Properties xmlns:vt="http://schemas.openxmlformats.org/officeDocument/2006/docPropsVTypes" xmlns:op="http://schemas.openxmlformats.org/officeDocument/2006/custom-properties"/>
</file>