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5EA" w:rsidRDefault="007A25E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3CE201A297F4DD283955F2E2554060C"/>
          </w:placeholder>
        </w:sdtPr>
        <w:sdtContent>
          <w:r w:rsidRPr="005C2A78">
            <w:rPr>
              <w:rFonts w:cs="Times New Roman"/>
              <w:b/>
              <w:szCs w:val="24"/>
              <w:u w:val="single"/>
            </w:rPr>
            <w:t>BILL ANALYSIS</w:t>
          </w:r>
        </w:sdtContent>
      </w:sdt>
    </w:p>
    <w:p w:rsidR="007A25EA" w:rsidRPr="00585C31" w:rsidRDefault="007A25EA" w:rsidP="000F1DF9">
      <w:pPr>
        <w:spacing w:after="0" w:line="240" w:lineRule="auto"/>
        <w:rPr>
          <w:rFonts w:cs="Times New Roman"/>
          <w:szCs w:val="24"/>
        </w:rPr>
      </w:pPr>
    </w:p>
    <w:p w:rsidR="007A25EA" w:rsidRPr="00585C31" w:rsidRDefault="007A25E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A25EA" w:rsidTr="000F1DF9">
        <w:tc>
          <w:tcPr>
            <w:tcW w:w="2718" w:type="dxa"/>
          </w:tcPr>
          <w:p w:rsidR="007A25EA" w:rsidRPr="005C2A78" w:rsidRDefault="007A25EA" w:rsidP="006D756B">
            <w:pPr>
              <w:rPr>
                <w:rFonts w:cs="Times New Roman"/>
                <w:szCs w:val="24"/>
              </w:rPr>
            </w:pPr>
            <w:sdt>
              <w:sdtPr>
                <w:rPr>
                  <w:rFonts w:cs="Times New Roman"/>
                  <w:szCs w:val="24"/>
                </w:rPr>
                <w:alias w:val="Agency Title"/>
                <w:tag w:val="AgencyTitleContentControl"/>
                <w:id w:val="1920747753"/>
                <w:lock w:val="sdtContentLocked"/>
                <w:placeholder>
                  <w:docPart w:val="113E215A2F2642B98D61F9A096300F31"/>
                </w:placeholder>
              </w:sdtPr>
              <w:sdtEndPr>
                <w:rPr>
                  <w:rFonts w:cstheme="minorBidi"/>
                  <w:szCs w:val="22"/>
                </w:rPr>
              </w:sdtEndPr>
              <w:sdtContent>
                <w:r>
                  <w:rPr>
                    <w:rFonts w:cs="Times New Roman"/>
                    <w:szCs w:val="24"/>
                  </w:rPr>
                  <w:t>Senate Research Center</w:t>
                </w:r>
              </w:sdtContent>
            </w:sdt>
          </w:p>
        </w:tc>
        <w:tc>
          <w:tcPr>
            <w:tcW w:w="6858" w:type="dxa"/>
          </w:tcPr>
          <w:p w:rsidR="007A25EA" w:rsidRPr="00FF6471" w:rsidRDefault="007A25EA" w:rsidP="000F1DF9">
            <w:pPr>
              <w:jc w:val="right"/>
              <w:rPr>
                <w:rFonts w:cs="Times New Roman"/>
                <w:szCs w:val="24"/>
              </w:rPr>
            </w:pPr>
            <w:sdt>
              <w:sdtPr>
                <w:rPr>
                  <w:rFonts w:cs="Times New Roman"/>
                  <w:szCs w:val="24"/>
                </w:rPr>
                <w:alias w:val="Bill Number"/>
                <w:tag w:val="BillNumberOne"/>
                <w:id w:val="-410784069"/>
                <w:lock w:val="sdtContentLocked"/>
                <w:placeholder>
                  <w:docPart w:val="F1A043FC91054D0DBC786898C41D1660"/>
                </w:placeholder>
              </w:sdtPr>
              <w:sdtContent>
                <w:r>
                  <w:rPr>
                    <w:rFonts w:cs="Times New Roman"/>
                    <w:szCs w:val="24"/>
                  </w:rPr>
                  <w:t>S.B. 1269</w:t>
                </w:r>
              </w:sdtContent>
            </w:sdt>
          </w:p>
        </w:tc>
      </w:tr>
      <w:tr w:rsidR="007A25EA" w:rsidTr="000F1DF9">
        <w:sdt>
          <w:sdtPr>
            <w:rPr>
              <w:rFonts w:cs="Times New Roman"/>
              <w:szCs w:val="24"/>
            </w:rPr>
            <w:alias w:val="TLCNumber"/>
            <w:tag w:val="TLCNumber"/>
            <w:id w:val="-542600604"/>
            <w:lock w:val="sdtLocked"/>
            <w:placeholder>
              <w:docPart w:val="0B2785DDD19E415DA59DA93DCFA21F76"/>
            </w:placeholder>
          </w:sdtPr>
          <w:sdtContent>
            <w:tc>
              <w:tcPr>
                <w:tcW w:w="2718" w:type="dxa"/>
              </w:tcPr>
              <w:p w:rsidR="007A25EA" w:rsidRPr="000F1DF9" w:rsidRDefault="007A25EA" w:rsidP="00C65088">
                <w:pPr>
                  <w:rPr>
                    <w:rFonts w:cs="Times New Roman"/>
                    <w:szCs w:val="24"/>
                  </w:rPr>
                </w:pPr>
                <w:r>
                  <w:rPr>
                    <w:rFonts w:cs="Times New Roman"/>
                    <w:szCs w:val="24"/>
                  </w:rPr>
                  <w:t>85R11288 JAM-D</w:t>
                </w:r>
              </w:p>
            </w:tc>
          </w:sdtContent>
        </w:sdt>
        <w:tc>
          <w:tcPr>
            <w:tcW w:w="6858" w:type="dxa"/>
          </w:tcPr>
          <w:p w:rsidR="007A25EA" w:rsidRPr="005C2A78" w:rsidRDefault="007A25EA" w:rsidP="006D756B">
            <w:pPr>
              <w:jc w:val="right"/>
              <w:rPr>
                <w:rFonts w:cs="Times New Roman"/>
                <w:szCs w:val="24"/>
              </w:rPr>
            </w:pPr>
            <w:sdt>
              <w:sdtPr>
                <w:rPr>
                  <w:rFonts w:cs="Times New Roman"/>
                  <w:szCs w:val="24"/>
                </w:rPr>
                <w:alias w:val="Author Label"/>
                <w:tag w:val="By"/>
                <w:id w:val="72399597"/>
                <w:lock w:val="sdtLocked"/>
                <w:placeholder>
                  <w:docPart w:val="6EEC2F60AE1A44068EFB18BD0C5F933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5F66B1279B44F028999755BF252D427"/>
                </w:placeholder>
              </w:sdtPr>
              <w:sdtContent>
                <w:r>
                  <w:rPr>
                    <w:rFonts w:cs="Times New Roman"/>
                    <w:szCs w:val="24"/>
                  </w:rPr>
                  <w:t>Miles</w:t>
                </w:r>
              </w:sdtContent>
            </w:sdt>
            <w:sdt>
              <w:sdtPr>
                <w:rPr>
                  <w:rFonts w:cs="Times New Roman"/>
                  <w:szCs w:val="24"/>
                </w:rPr>
                <w:alias w:val="Sponsor"/>
                <w:tag w:val="Sponsor"/>
                <w:id w:val="-2039656131"/>
                <w:lock w:val="sdtContentLocked"/>
                <w:placeholder>
                  <w:docPart w:val="7E06E10AF4C941EE982B3F31EECE92E4"/>
                </w:placeholder>
                <w:showingPlcHdr/>
              </w:sdtPr>
              <w:sdtContent/>
            </w:sdt>
          </w:p>
        </w:tc>
      </w:tr>
      <w:tr w:rsidR="007A25EA" w:rsidTr="000F1DF9">
        <w:tc>
          <w:tcPr>
            <w:tcW w:w="2718" w:type="dxa"/>
          </w:tcPr>
          <w:p w:rsidR="007A25EA" w:rsidRPr="00BC7495" w:rsidRDefault="007A25EA" w:rsidP="000F1DF9">
            <w:pPr>
              <w:rPr>
                <w:rFonts w:cs="Times New Roman"/>
                <w:szCs w:val="24"/>
              </w:rPr>
            </w:pPr>
          </w:p>
        </w:tc>
        <w:sdt>
          <w:sdtPr>
            <w:rPr>
              <w:rFonts w:cs="Times New Roman"/>
              <w:szCs w:val="24"/>
            </w:rPr>
            <w:alias w:val="Committee"/>
            <w:tag w:val="Committee"/>
            <w:id w:val="1914272295"/>
            <w:lock w:val="sdtContentLocked"/>
            <w:placeholder>
              <w:docPart w:val="9378C269A5744D659BF97180BB867400"/>
            </w:placeholder>
          </w:sdtPr>
          <w:sdtContent>
            <w:tc>
              <w:tcPr>
                <w:tcW w:w="6858" w:type="dxa"/>
              </w:tcPr>
              <w:p w:rsidR="007A25EA" w:rsidRPr="00FF6471" w:rsidRDefault="007A25EA" w:rsidP="000F1DF9">
                <w:pPr>
                  <w:jc w:val="right"/>
                  <w:rPr>
                    <w:rFonts w:cs="Times New Roman"/>
                    <w:szCs w:val="24"/>
                  </w:rPr>
                </w:pPr>
                <w:r>
                  <w:rPr>
                    <w:rFonts w:cs="Times New Roman"/>
                    <w:szCs w:val="24"/>
                  </w:rPr>
                  <w:t>Agriculture, Water &amp; Rural Affairs</w:t>
                </w:r>
              </w:p>
            </w:tc>
          </w:sdtContent>
        </w:sdt>
      </w:tr>
      <w:tr w:rsidR="007A25EA" w:rsidTr="000F1DF9">
        <w:tc>
          <w:tcPr>
            <w:tcW w:w="2718" w:type="dxa"/>
          </w:tcPr>
          <w:p w:rsidR="007A25EA" w:rsidRPr="00BC7495" w:rsidRDefault="007A25EA" w:rsidP="000F1DF9">
            <w:pPr>
              <w:rPr>
                <w:rFonts w:cs="Times New Roman"/>
                <w:szCs w:val="24"/>
              </w:rPr>
            </w:pPr>
          </w:p>
        </w:tc>
        <w:sdt>
          <w:sdtPr>
            <w:rPr>
              <w:rFonts w:cs="Times New Roman"/>
              <w:szCs w:val="24"/>
            </w:rPr>
            <w:alias w:val="Date"/>
            <w:tag w:val="DateContentControl"/>
            <w:id w:val="1178081906"/>
            <w:lock w:val="sdtLocked"/>
            <w:placeholder>
              <w:docPart w:val="F373B851E99F4365877023A06DA49C43"/>
            </w:placeholder>
            <w:date w:fullDate="2017-03-30T00:00:00Z">
              <w:dateFormat w:val="M/d/yyyy"/>
              <w:lid w:val="en-US"/>
              <w:storeMappedDataAs w:val="dateTime"/>
              <w:calendar w:val="gregorian"/>
            </w:date>
          </w:sdtPr>
          <w:sdtContent>
            <w:tc>
              <w:tcPr>
                <w:tcW w:w="6858" w:type="dxa"/>
              </w:tcPr>
              <w:p w:rsidR="007A25EA" w:rsidRPr="00FF6471" w:rsidRDefault="007A25EA" w:rsidP="006C5F25">
                <w:pPr>
                  <w:jc w:val="right"/>
                  <w:rPr>
                    <w:rFonts w:cs="Times New Roman"/>
                    <w:szCs w:val="24"/>
                  </w:rPr>
                </w:pPr>
                <w:r>
                  <w:rPr>
                    <w:rFonts w:cs="Times New Roman"/>
                    <w:szCs w:val="24"/>
                  </w:rPr>
                  <w:t>3/30/2017</w:t>
                </w:r>
              </w:p>
            </w:tc>
          </w:sdtContent>
        </w:sdt>
      </w:tr>
      <w:tr w:rsidR="007A25EA" w:rsidTr="000F1DF9">
        <w:tc>
          <w:tcPr>
            <w:tcW w:w="2718" w:type="dxa"/>
          </w:tcPr>
          <w:p w:rsidR="007A25EA" w:rsidRPr="00BC7495" w:rsidRDefault="007A25EA" w:rsidP="000F1DF9">
            <w:pPr>
              <w:rPr>
                <w:rFonts w:cs="Times New Roman"/>
                <w:szCs w:val="24"/>
              </w:rPr>
            </w:pPr>
          </w:p>
        </w:tc>
        <w:sdt>
          <w:sdtPr>
            <w:rPr>
              <w:rFonts w:cs="Times New Roman"/>
              <w:szCs w:val="24"/>
            </w:rPr>
            <w:alias w:val="BA Version"/>
            <w:tag w:val="BAVersion"/>
            <w:id w:val="-1685590809"/>
            <w:lock w:val="sdtContentLocked"/>
            <w:placeholder>
              <w:docPart w:val="C8474945B94D4FB9A43E70939B39121F"/>
            </w:placeholder>
          </w:sdtPr>
          <w:sdtContent>
            <w:tc>
              <w:tcPr>
                <w:tcW w:w="6858" w:type="dxa"/>
              </w:tcPr>
              <w:p w:rsidR="007A25EA" w:rsidRPr="00FF6471" w:rsidRDefault="007A25EA" w:rsidP="000F1DF9">
                <w:pPr>
                  <w:jc w:val="right"/>
                  <w:rPr>
                    <w:rFonts w:cs="Times New Roman"/>
                    <w:szCs w:val="24"/>
                  </w:rPr>
                </w:pPr>
                <w:r>
                  <w:rPr>
                    <w:rFonts w:cs="Times New Roman"/>
                    <w:szCs w:val="24"/>
                  </w:rPr>
                  <w:t>As Filed</w:t>
                </w:r>
              </w:p>
            </w:tc>
          </w:sdtContent>
        </w:sdt>
      </w:tr>
    </w:tbl>
    <w:p w:rsidR="007A25EA" w:rsidRPr="00FF6471" w:rsidRDefault="007A25EA" w:rsidP="000F1DF9">
      <w:pPr>
        <w:spacing w:after="0" w:line="240" w:lineRule="auto"/>
        <w:rPr>
          <w:rFonts w:cs="Times New Roman"/>
          <w:szCs w:val="24"/>
        </w:rPr>
      </w:pPr>
    </w:p>
    <w:p w:rsidR="007A25EA" w:rsidRPr="00FF6471" w:rsidRDefault="007A25EA" w:rsidP="000F1DF9">
      <w:pPr>
        <w:spacing w:after="0" w:line="240" w:lineRule="auto"/>
        <w:rPr>
          <w:rFonts w:cs="Times New Roman"/>
          <w:szCs w:val="24"/>
        </w:rPr>
      </w:pPr>
    </w:p>
    <w:p w:rsidR="007A25EA" w:rsidRPr="00FF6471" w:rsidRDefault="007A25E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92C6A569121467FA2FB640ACD25A64E"/>
        </w:placeholder>
      </w:sdtPr>
      <w:sdtContent>
        <w:p w:rsidR="007A25EA" w:rsidRDefault="007A25E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B25FE25B30D4B8D89D7949FAAEB548E"/>
        </w:placeholder>
      </w:sdtPr>
      <w:sdtEndPr>
        <w:rPr>
          <w:rFonts w:cs="Times New Roman"/>
          <w:szCs w:val="24"/>
        </w:rPr>
      </w:sdtEndPr>
      <w:sdtContent>
        <w:p w:rsidR="007A25EA" w:rsidRDefault="007A25EA" w:rsidP="00BF69E8">
          <w:pPr>
            <w:pStyle w:val="NormalWeb"/>
            <w:spacing w:before="0" w:beforeAutospacing="0" w:after="0" w:afterAutospacing="0"/>
            <w:jc w:val="both"/>
            <w:divId w:val="397018723"/>
            <w:rPr>
              <w:rFonts w:eastAsia="Times New Roman" w:cstheme="minorBidi"/>
              <w:bCs/>
              <w:szCs w:val="22"/>
            </w:rPr>
          </w:pPr>
        </w:p>
        <w:p w:rsidR="007A25EA" w:rsidRDefault="007A25EA" w:rsidP="00BF69E8">
          <w:pPr>
            <w:pStyle w:val="NormalWeb"/>
            <w:spacing w:before="0" w:beforeAutospacing="0" w:after="0" w:afterAutospacing="0"/>
            <w:jc w:val="both"/>
            <w:divId w:val="397018723"/>
          </w:pPr>
          <w:r>
            <w:t>Create task force/initiate flood planning infrastructure need study for Harris and Galveston Counties:</w:t>
          </w:r>
        </w:p>
        <w:p w:rsidR="007A25EA" w:rsidRDefault="007A25EA" w:rsidP="00BF69E8">
          <w:pPr>
            <w:pStyle w:val="NormalWeb"/>
            <w:spacing w:before="0" w:beforeAutospacing="0" w:after="0" w:afterAutospacing="0"/>
            <w:jc w:val="both"/>
            <w:divId w:val="397018723"/>
          </w:pPr>
          <w:r>
            <w:t> </w:t>
          </w:r>
        </w:p>
        <w:p w:rsidR="007A25EA" w:rsidRDefault="007A25EA" w:rsidP="00BF69E8">
          <w:pPr>
            <w:pStyle w:val="NormalWeb"/>
            <w:numPr>
              <w:ilvl w:val="0"/>
              <w:numId w:val="1"/>
            </w:numPr>
            <w:spacing w:before="0" w:beforeAutospacing="0" w:after="0" w:afterAutospacing="0"/>
            <w:jc w:val="both"/>
            <w:divId w:val="397018723"/>
          </w:pPr>
          <w:r>
            <w:t>Housed at the University of Houston's (UH's) Hobby School of Public Affairs with support from the UH Cullen College of Engineering.</w:t>
          </w:r>
        </w:p>
        <w:p w:rsidR="007A25EA" w:rsidRDefault="007A25EA" w:rsidP="00BF69E8">
          <w:pPr>
            <w:pStyle w:val="NormalWeb"/>
            <w:spacing w:before="0" w:beforeAutospacing="0" w:after="0" w:afterAutospacing="0"/>
            <w:jc w:val="both"/>
            <w:divId w:val="397018723"/>
          </w:pPr>
        </w:p>
        <w:p w:rsidR="007A25EA" w:rsidRDefault="007A25EA" w:rsidP="00BF69E8">
          <w:pPr>
            <w:pStyle w:val="NormalWeb"/>
            <w:numPr>
              <w:ilvl w:val="0"/>
              <w:numId w:val="1"/>
            </w:numPr>
            <w:spacing w:before="0" w:beforeAutospacing="0" w:after="0" w:afterAutospacing="0"/>
            <w:jc w:val="both"/>
            <w:divId w:val="397018723"/>
          </w:pPr>
          <w:r>
            <w:t>Would include a taskforce (including one appointment each from the governor, lieutenant governor, and speaker of the house of representatives, two from the Hobby School, two from the Texas Southern University Barbara-Jordan/Mickey Leland School, one from the Houston mayor's office, one from Harris County, two others at large appointed by Sen. Miles and House sponsor (one each).</w:t>
          </w:r>
        </w:p>
        <w:p w:rsidR="007A25EA" w:rsidRDefault="007A25EA" w:rsidP="00BF69E8">
          <w:pPr>
            <w:pStyle w:val="NormalWeb"/>
            <w:spacing w:before="0" w:beforeAutospacing="0" w:after="0" w:afterAutospacing="0"/>
            <w:jc w:val="both"/>
            <w:divId w:val="397018723"/>
          </w:pPr>
        </w:p>
        <w:p w:rsidR="007A25EA" w:rsidRDefault="007A25EA" w:rsidP="00BF69E8">
          <w:pPr>
            <w:pStyle w:val="NormalWeb"/>
            <w:numPr>
              <w:ilvl w:val="0"/>
              <w:numId w:val="1"/>
            </w:numPr>
            <w:spacing w:before="0" w:beforeAutospacing="0" w:after="0" w:afterAutospacing="0"/>
            <w:jc w:val="both"/>
            <w:divId w:val="397018723"/>
          </w:pPr>
          <w:r>
            <w:t>Report and recommendations due December 1, 2018; Sunset January 1, 2019.</w:t>
          </w:r>
        </w:p>
        <w:p w:rsidR="007A25EA" w:rsidRDefault="007A25EA" w:rsidP="00BF69E8">
          <w:pPr>
            <w:pStyle w:val="NormalWeb"/>
            <w:spacing w:before="0" w:beforeAutospacing="0" w:after="0" w:afterAutospacing="0"/>
            <w:jc w:val="both"/>
            <w:divId w:val="397018723"/>
          </w:pPr>
        </w:p>
        <w:p w:rsidR="007A25EA" w:rsidRDefault="007A25EA" w:rsidP="00BF69E8">
          <w:pPr>
            <w:pStyle w:val="NormalWeb"/>
            <w:numPr>
              <w:ilvl w:val="0"/>
              <w:numId w:val="1"/>
            </w:numPr>
            <w:spacing w:before="0" w:beforeAutospacing="0" w:after="0" w:afterAutospacing="0"/>
            <w:jc w:val="both"/>
            <w:divId w:val="397018723"/>
          </w:pPr>
          <w:r>
            <w:t>Budget/contingency rider required.</w:t>
          </w:r>
        </w:p>
        <w:p w:rsidR="007A25EA" w:rsidRDefault="007A25EA" w:rsidP="00BF69E8">
          <w:pPr>
            <w:pStyle w:val="NormalWeb"/>
            <w:spacing w:before="0" w:beforeAutospacing="0" w:after="0" w:afterAutospacing="0"/>
            <w:ind w:firstLine="60"/>
            <w:jc w:val="both"/>
            <w:divId w:val="397018723"/>
          </w:pPr>
        </w:p>
        <w:p w:rsidR="007A25EA" w:rsidRDefault="007A25EA" w:rsidP="00BF69E8">
          <w:pPr>
            <w:pStyle w:val="NormalWeb"/>
            <w:spacing w:before="0" w:beforeAutospacing="0" w:after="0" w:afterAutospacing="0"/>
            <w:jc w:val="both"/>
            <w:divId w:val="397018723"/>
          </w:pPr>
          <w:r>
            <w:t>Background</w:t>
          </w:r>
        </w:p>
        <w:p w:rsidR="007A25EA" w:rsidRDefault="007A25EA" w:rsidP="00BF69E8">
          <w:pPr>
            <w:pStyle w:val="NormalWeb"/>
            <w:spacing w:before="0" w:beforeAutospacing="0" w:after="0" w:afterAutospacing="0"/>
            <w:ind w:firstLine="60"/>
            <w:jc w:val="both"/>
            <w:divId w:val="397018723"/>
          </w:pPr>
        </w:p>
        <w:p w:rsidR="007A25EA" w:rsidRDefault="007A25EA" w:rsidP="00BF69E8">
          <w:pPr>
            <w:pStyle w:val="NormalWeb"/>
            <w:numPr>
              <w:ilvl w:val="0"/>
              <w:numId w:val="1"/>
            </w:numPr>
            <w:spacing w:before="0" w:beforeAutospacing="0" w:after="0" w:afterAutospacing="0"/>
            <w:jc w:val="both"/>
            <w:divId w:val="397018723"/>
          </w:pPr>
          <w:r>
            <w:t>The American Society of Civil Engineers (ASCE) gave Texas a “D” on flood control on its latest infrastructure report card.</w:t>
          </w:r>
        </w:p>
        <w:p w:rsidR="007A25EA" w:rsidRDefault="007A25EA" w:rsidP="00BF69E8">
          <w:pPr>
            <w:pStyle w:val="NormalWeb"/>
            <w:spacing w:before="0" w:beforeAutospacing="0" w:after="0" w:afterAutospacing="0"/>
            <w:ind w:firstLine="60"/>
            <w:jc w:val="both"/>
            <w:divId w:val="397018723"/>
          </w:pPr>
        </w:p>
        <w:p w:rsidR="007A25EA" w:rsidRDefault="007A25EA" w:rsidP="00BF69E8">
          <w:pPr>
            <w:pStyle w:val="NormalWeb"/>
            <w:numPr>
              <w:ilvl w:val="0"/>
              <w:numId w:val="1"/>
            </w:numPr>
            <w:spacing w:before="0" w:beforeAutospacing="0" w:after="0" w:afterAutospacing="0"/>
            <w:jc w:val="both"/>
            <w:divId w:val="397018723"/>
          </w:pPr>
          <w:r>
            <w:t>According to the Texas Water Development Board (TWDB), the last study found related to Harris/Galveston Counties was a 1992 study for Galveston County. They also found a 2000 study for the Lake Houston Watershed.</w:t>
          </w:r>
        </w:p>
        <w:p w:rsidR="007A25EA" w:rsidRDefault="007A25EA" w:rsidP="00BF69E8">
          <w:pPr>
            <w:pStyle w:val="NormalWeb"/>
            <w:spacing w:before="0" w:beforeAutospacing="0" w:after="0" w:afterAutospacing="0"/>
            <w:ind w:firstLine="60"/>
            <w:jc w:val="both"/>
            <w:divId w:val="397018723"/>
          </w:pPr>
        </w:p>
        <w:p w:rsidR="007A25EA" w:rsidRDefault="007A25EA" w:rsidP="00BF69E8">
          <w:pPr>
            <w:pStyle w:val="NormalWeb"/>
            <w:numPr>
              <w:ilvl w:val="0"/>
              <w:numId w:val="1"/>
            </w:numPr>
            <w:spacing w:before="0" w:beforeAutospacing="0" w:after="0" w:afterAutospacing="0"/>
            <w:jc w:val="both"/>
            <w:divId w:val="397018723"/>
          </w:pPr>
          <w:r>
            <w:t>The April 2016 Houston flood cost nearly $2 billion in economic impact. Estimates suggest that the economic impact of the May 2015 flooding in Houston ranged between $200 and $550 million. In addition, the economic cost of Hurricane Ike (2008) was $154 billion and $6.7 billion for Tropical Storm Allison (2001).</w:t>
          </w:r>
        </w:p>
        <w:p w:rsidR="007A25EA" w:rsidRDefault="007A25EA" w:rsidP="00BF69E8">
          <w:pPr>
            <w:pStyle w:val="NormalWeb"/>
            <w:spacing w:before="0" w:beforeAutospacing="0" w:after="0" w:afterAutospacing="0"/>
            <w:ind w:firstLine="60"/>
            <w:jc w:val="both"/>
            <w:divId w:val="397018723"/>
          </w:pPr>
        </w:p>
        <w:p w:rsidR="007A25EA" w:rsidRDefault="007A25EA" w:rsidP="00BF69E8">
          <w:pPr>
            <w:pStyle w:val="NormalWeb"/>
            <w:numPr>
              <w:ilvl w:val="0"/>
              <w:numId w:val="1"/>
            </w:numPr>
            <w:spacing w:before="0" w:beforeAutospacing="0" w:after="0" w:afterAutospacing="0"/>
            <w:jc w:val="both"/>
            <w:divId w:val="397018723"/>
          </w:pPr>
          <w:r>
            <w:t>“Texas ranks among the worst of any state for flood-control spending." According to the Texas section of the ASCE, the state is second only to Louisiana in dollars paid out in flood claims.</w:t>
          </w:r>
        </w:p>
        <w:p w:rsidR="007A25EA" w:rsidRDefault="007A25EA" w:rsidP="00BF69E8">
          <w:pPr>
            <w:pStyle w:val="NormalWeb"/>
            <w:spacing w:before="0" w:beforeAutospacing="0" w:after="0" w:afterAutospacing="0"/>
            <w:ind w:firstLine="60"/>
            <w:jc w:val="both"/>
            <w:divId w:val="397018723"/>
          </w:pPr>
        </w:p>
        <w:p w:rsidR="007A25EA" w:rsidRDefault="007A25EA" w:rsidP="00BF69E8">
          <w:pPr>
            <w:pStyle w:val="NormalWeb"/>
            <w:numPr>
              <w:ilvl w:val="0"/>
              <w:numId w:val="1"/>
            </w:numPr>
            <w:spacing w:before="0" w:beforeAutospacing="0" w:after="0" w:afterAutospacing="0"/>
            <w:jc w:val="both"/>
            <w:divId w:val="397018723"/>
          </w:pPr>
          <w:r>
            <w:t>Three Texas agencies are responsible for flood mitigation across the state: the Governor’s Division of Emergency Management, the Texas Commission on Environmental Quality, and the TWDB. But none of these has true authority to devise or implement flood-control policies for the state’s 23 river basins," according to the Texas ASCE.</w:t>
          </w:r>
        </w:p>
        <w:p w:rsidR="007A25EA" w:rsidRDefault="007A25EA" w:rsidP="00BF69E8">
          <w:pPr>
            <w:pStyle w:val="NormalWeb"/>
            <w:spacing w:before="0" w:beforeAutospacing="0" w:after="0" w:afterAutospacing="0"/>
            <w:ind w:firstLine="60"/>
            <w:jc w:val="both"/>
            <w:divId w:val="397018723"/>
          </w:pPr>
        </w:p>
        <w:p w:rsidR="007A25EA" w:rsidRDefault="007A25EA" w:rsidP="00BF69E8">
          <w:pPr>
            <w:pStyle w:val="NormalWeb"/>
            <w:numPr>
              <w:ilvl w:val="0"/>
              <w:numId w:val="1"/>
            </w:numPr>
            <w:spacing w:before="0" w:beforeAutospacing="0" w:after="0" w:afterAutospacing="0"/>
            <w:jc w:val="both"/>
            <w:divId w:val="397018723"/>
          </w:pPr>
          <w:r>
            <w:t>Certain political subdivisions are eligible to apply for Texas Water Development Grants for flood protection planning. Those grants are limited to 50 percent of the total cost of the project, except that the board may supply up to 75 percent of the total cost to political subdivisions which have unemployment rates exceeding the state average by 50 percent or more, and which have per capita income which is 65 percent or less of the state average.</w:t>
          </w:r>
        </w:p>
        <w:p w:rsidR="007A25EA" w:rsidRDefault="007A25EA" w:rsidP="00BF69E8">
          <w:pPr>
            <w:pStyle w:val="NormalWeb"/>
            <w:spacing w:before="0" w:beforeAutospacing="0" w:after="0" w:afterAutospacing="0"/>
            <w:ind w:firstLine="60"/>
            <w:jc w:val="both"/>
            <w:divId w:val="397018723"/>
          </w:pPr>
        </w:p>
        <w:p w:rsidR="007A25EA" w:rsidRDefault="007A25EA" w:rsidP="00BF69E8">
          <w:pPr>
            <w:pStyle w:val="NormalWeb"/>
            <w:numPr>
              <w:ilvl w:val="0"/>
              <w:numId w:val="1"/>
            </w:numPr>
            <w:spacing w:before="0" w:beforeAutospacing="0" w:after="0" w:afterAutospacing="0"/>
            <w:jc w:val="both"/>
            <w:divId w:val="397018723"/>
          </w:pPr>
          <w:r>
            <w:t>TWDB is requesting $12,458,000 for flood warning, mitigation and planning. The flood plan portion is $760,000 ($160,000 for a full-time equivalent and $600,000 for a contract to survey flood mitigation tasks across the state). With this funding TWDB plans to:</w:t>
          </w:r>
        </w:p>
        <w:p w:rsidR="007A25EA" w:rsidRDefault="007A25EA" w:rsidP="00BF69E8">
          <w:pPr>
            <w:pStyle w:val="NormalWeb"/>
            <w:spacing w:before="0" w:beforeAutospacing="0" w:after="0" w:afterAutospacing="0"/>
            <w:jc w:val="both"/>
            <w:divId w:val="397018723"/>
          </w:pPr>
        </w:p>
        <w:p w:rsidR="007A25EA" w:rsidRDefault="007A25EA" w:rsidP="00BF69E8">
          <w:pPr>
            <w:pStyle w:val="NormalWeb"/>
            <w:numPr>
              <w:ilvl w:val="1"/>
              <w:numId w:val="1"/>
            </w:numPr>
            <w:spacing w:before="0" w:beforeAutospacing="0" w:after="0" w:afterAutospacing="0"/>
            <w:jc w:val="both"/>
            <w:divId w:val="397018723"/>
          </w:pPr>
          <w:r>
            <w:t>Provide a solid background of flood, flood issues, and local, state, and federal flood programs in Texas</w:t>
          </w:r>
        </w:p>
        <w:p w:rsidR="007A25EA" w:rsidRDefault="007A25EA" w:rsidP="00BF69E8">
          <w:pPr>
            <w:pStyle w:val="NormalWeb"/>
            <w:spacing w:before="0" w:beforeAutospacing="0" w:after="0" w:afterAutospacing="0"/>
            <w:ind w:left="1440"/>
            <w:jc w:val="both"/>
            <w:divId w:val="397018723"/>
          </w:pPr>
        </w:p>
        <w:p w:rsidR="007A25EA" w:rsidRDefault="007A25EA" w:rsidP="00BF69E8">
          <w:pPr>
            <w:pStyle w:val="NormalWeb"/>
            <w:numPr>
              <w:ilvl w:val="1"/>
              <w:numId w:val="1"/>
            </w:numPr>
            <w:spacing w:before="0" w:beforeAutospacing="0" w:after="0" w:afterAutospacing="0"/>
            <w:jc w:val="both"/>
            <w:divId w:val="397018723"/>
          </w:pPr>
          <w:r>
            <w:t>Summarize flood mitigation costs across the state</w:t>
          </w:r>
        </w:p>
        <w:p w:rsidR="007A25EA" w:rsidRDefault="007A25EA" w:rsidP="00BF69E8">
          <w:pPr>
            <w:pStyle w:val="NormalWeb"/>
            <w:spacing w:before="0" w:beforeAutospacing="0" w:after="0" w:afterAutospacing="0"/>
            <w:ind w:left="1440"/>
            <w:jc w:val="both"/>
            <w:divId w:val="397018723"/>
          </w:pPr>
        </w:p>
        <w:p w:rsidR="007A25EA" w:rsidRDefault="007A25EA" w:rsidP="00BF69E8">
          <w:pPr>
            <w:pStyle w:val="NormalWeb"/>
            <w:numPr>
              <w:ilvl w:val="1"/>
              <w:numId w:val="1"/>
            </w:numPr>
            <w:spacing w:before="0" w:beforeAutospacing="0" w:after="0" w:afterAutospacing="0"/>
            <w:jc w:val="both"/>
            <w:divId w:val="397018723"/>
          </w:pPr>
          <w:r>
            <w:t>Solicit stakeholder recommendations on what future statewide planning and financing efforts should look like.</w:t>
          </w:r>
        </w:p>
        <w:p w:rsidR="007A25EA" w:rsidRDefault="007A25EA" w:rsidP="00BF69E8">
          <w:pPr>
            <w:pStyle w:val="NormalWeb"/>
            <w:spacing w:before="0" w:beforeAutospacing="0" w:after="0" w:afterAutospacing="0"/>
            <w:ind w:firstLine="60"/>
            <w:jc w:val="both"/>
            <w:divId w:val="397018723"/>
          </w:pPr>
        </w:p>
        <w:p w:rsidR="007A25EA" w:rsidRDefault="007A25EA" w:rsidP="00BF69E8">
          <w:pPr>
            <w:pStyle w:val="NormalWeb"/>
            <w:numPr>
              <w:ilvl w:val="0"/>
              <w:numId w:val="1"/>
            </w:numPr>
            <w:spacing w:before="0" w:beforeAutospacing="0" w:after="0" w:afterAutospacing="0"/>
            <w:jc w:val="both"/>
            <w:divId w:val="397018723"/>
          </w:pPr>
          <w:r>
            <w:t>In 2016 TWDB received $42.7 million in federal funding simply to pay for flood mitigation—acquisition and demolition.</w:t>
          </w:r>
        </w:p>
        <w:p w:rsidR="007A25EA" w:rsidRDefault="007A25EA" w:rsidP="00BF69E8">
          <w:pPr>
            <w:pStyle w:val="NormalWeb"/>
            <w:spacing w:before="0" w:beforeAutospacing="0" w:after="0" w:afterAutospacing="0"/>
            <w:ind w:firstLine="60"/>
            <w:jc w:val="both"/>
            <w:divId w:val="397018723"/>
          </w:pPr>
        </w:p>
        <w:p w:rsidR="007A25EA" w:rsidRDefault="007A25EA" w:rsidP="00BF69E8">
          <w:pPr>
            <w:pStyle w:val="NormalWeb"/>
            <w:spacing w:before="0" w:beforeAutospacing="0" w:after="0" w:afterAutospacing="0"/>
            <w:jc w:val="both"/>
            <w:divId w:val="397018723"/>
          </w:pPr>
          <w:r>
            <w:t xml:space="preserve">Cost: $1,500,000 (to apply research specifically to Harris/Galveston). </w:t>
          </w:r>
        </w:p>
        <w:p w:rsidR="007A25EA" w:rsidRPr="006C5F25" w:rsidRDefault="007A25EA" w:rsidP="00BF69E8">
          <w:pPr>
            <w:pStyle w:val="NormalWeb"/>
            <w:spacing w:before="0" w:beforeAutospacing="0" w:after="0" w:afterAutospacing="0"/>
            <w:jc w:val="both"/>
            <w:divId w:val="397018723"/>
          </w:pPr>
          <w:r w:rsidRPr="006C5F25">
            <w:t> </w:t>
          </w:r>
        </w:p>
      </w:sdtContent>
    </w:sdt>
    <w:p w:rsidR="007A25EA" w:rsidRDefault="007A25EA"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1269 </w:t>
      </w:r>
      <w:bookmarkStart w:id="1" w:name="AmendsCurrentLaw"/>
      <w:bookmarkEnd w:id="1"/>
      <w:r>
        <w:rPr>
          <w:rFonts w:cs="Times New Roman"/>
          <w:szCs w:val="24"/>
        </w:rPr>
        <w:t>amends current law relating to the establishment of a task force to conduct a comprehensive study on flood control infrastructure for Harris and Galveston Counties.</w:t>
      </w:r>
    </w:p>
    <w:p w:rsidR="007A25EA" w:rsidRPr="00B84C4C" w:rsidRDefault="007A25EA" w:rsidP="000F1DF9">
      <w:pPr>
        <w:spacing w:after="0" w:line="240" w:lineRule="auto"/>
        <w:jc w:val="both"/>
        <w:rPr>
          <w:rFonts w:eastAsia="Times New Roman" w:cs="Times New Roman"/>
          <w:szCs w:val="24"/>
        </w:rPr>
      </w:pPr>
    </w:p>
    <w:p w:rsidR="007A25EA" w:rsidRPr="005C2A78" w:rsidRDefault="007A25E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CD4D16DF1EF43CDA6BD2919C35C7889"/>
          </w:placeholder>
        </w:sdtPr>
        <w:sdtContent>
          <w:r>
            <w:rPr>
              <w:rFonts w:eastAsia="Times New Roman" w:cs="Times New Roman"/>
              <w:b/>
              <w:szCs w:val="24"/>
              <w:u w:val="single"/>
            </w:rPr>
            <w:t>RULEMAKING AUTHORITY</w:t>
          </w:r>
        </w:sdtContent>
      </w:sdt>
    </w:p>
    <w:p w:rsidR="007A25EA" w:rsidRPr="006529C4" w:rsidRDefault="007A25EA" w:rsidP="00774EC7">
      <w:pPr>
        <w:spacing w:after="0" w:line="240" w:lineRule="auto"/>
        <w:jc w:val="both"/>
        <w:rPr>
          <w:rFonts w:cs="Times New Roman"/>
          <w:szCs w:val="24"/>
        </w:rPr>
      </w:pPr>
    </w:p>
    <w:p w:rsidR="007A25EA" w:rsidRPr="006529C4" w:rsidRDefault="007A25EA"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7A25EA" w:rsidRPr="006529C4" w:rsidRDefault="007A25EA" w:rsidP="00774EC7">
      <w:pPr>
        <w:spacing w:after="0" w:line="240" w:lineRule="auto"/>
        <w:jc w:val="both"/>
        <w:rPr>
          <w:rFonts w:cs="Times New Roman"/>
          <w:szCs w:val="24"/>
        </w:rPr>
      </w:pPr>
    </w:p>
    <w:p w:rsidR="007A25EA" w:rsidRPr="005C2A78" w:rsidRDefault="007A25E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C7ACDC5AB0E4AD0BB1CF0A3B3A506EB"/>
          </w:placeholder>
        </w:sdtPr>
        <w:sdtContent>
          <w:r>
            <w:rPr>
              <w:rFonts w:eastAsia="Times New Roman" w:cs="Times New Roman"/>
              <w:b/>
              <w:szCs w:val="24"/>
              <w:u w:val="single"/>
            </w:rPr>
            <w:t>SECTION BY SECTION ANALYSIS</w:t>
          </w:r>
        </w:sdtContent>
      </w:sdt>
    </w:p>
    <w:p w:rsidR="007A25EA" w:rsidRPr="005C2A78" w:rsidRDefault="007A25EA" w:rsidP="000F1DF9">
      <w:pPr>
        <w:spacing w:after="0" w:line="240" w:lineRule="auto"/>
        <w:jc w:val="both"/>
        <w:rPr>
          <w:rFonts w:eastAsia="Times New Roman" w:cs="Times New Roman"/>
          <w:szCs w:val="24"/>
        </w:rPr>
      </w:pPr>
    </w:p>
    <w:p w:rsidR="007A25EA" w:rsidRDefault="007A25EA"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 Defines "task force" as the task on flood control infrastructure.</w:t>
      </w:r>
    </w:p>
    <w:p w:rsidR="007A25EA" w:rsidRDefault="007A25EA" w:rsidP="000F1DF9">
      <w:pPr>
        <w:spacing w:after="0" w:line="240" w:lineRule="auto"/>
        <w:jc w:val="both"/>
        <w:rPr>
          <w:rFonts w:eastAsia="Times New Roman" w:cs="Times New Roman"/>
          <w:szCs w:val="24"/>
        </w:rPr>
      </w:pPr>
    </w:p>
    <w:p w:rsidR="007A25EA" w:rsidRDefault="007A25EA" w:rsidP="00B84C4C">
      <w:pPr>
        <w:spacing w:after="0" w:line="240" w:lineRule="auto"/>
        <w:ind w:left="720"/>
        <w:jc w:val="both"/>
        <w:rPr>
          <w:rFonts w:eastAsia="Times New Roman" w:cs="Times New Roman"/>
          <w:szCs w:val="24"/>
        </w:rPr>
      </w:pPr>
      <w:r>
        <w:rPr>
          <w:rFonts w:eastAsia="Times New Roman" w:cs="Times New Roman"/>
          <w:szCs w:val="24"/>
        </w:rPr>
        <w:t>(b) Provides that the task force is established to conduct a comprehensive flood control infrastructure study for Harris and Galveston Counties. Requires that the study assess the existing infrastructure in Harris and Galveston Counties with respect to flood control and identify infrastructure improvements necessary to mitigate flooding in those counties.</w:t>
      </w:r>
    </w:p>
    <w:p w:rsidR="007A25EA" w:rsidRDefault="007A25EA" w:rsidP="00B84C4C">
      <w:pPr>
        <w:spacing w:after="0" w:line="240" w:lineRule="auto"/>
        <w:ind w:left="720"/>
        <w:jc w:val="both"/>
        <w:rPr>
          <w:rFonts w:eastAsia="Times New Roman" w:cs="Times New Roman"/>
          <w:szCs w:val="24"/>
        </w:rPr>
      </w:pPr>
    </w:p>
    <w:p w:rsidR="007A25EA" w:rsidRDefault="007A25EA" w:rsidP="00B84C4C">
      <w:pPr>
        <w:spacing w:after="0" w:line="240" w:lineRule="auto"/>
        <w:ind w:left="720"/>
        <w:jc w:val="both"/>
        <w:rPr>
          <w:rFonts w:eastAsia="Times New Roman" w:cs="Times New Roman"/>
          <w:szCs w:val="24"/>
        </w:rPr>
      </w:pPr>
      <w:r>
        <w:rPr>
          <w:rFonts w:eastAsia="Times New Roman" w:cs="Times New Roman"/>
          <w:szCs w:val="24"/>
        </w:rPr>
        <w:t>(c) Sets forth the composition of the task force.</w:t>
      </w:r>
    </w:p>
    <w:p w:rsidR="007A25EA" w:rsidRDefault="007A25EA" w:rsidP="00B84C4C">
      <w:pPr>
        <w:spacing w:after="0" w:line="240" w:lineRule="auto"/>
        <w:ind w:left="720"/>
        <w:jc w:val="both"/>
        <w:rPr>
          <w:rFonts w:eastAsia="Times New Roman" w:cs="Times New Roman"/>
          <w:szCs w:val="24"/>
        </w:rPr>
      </w:pPr>
    </w:p>
    <w:p w:rsidR="007A25EA" w:rsidRDefault="007A25EA" w:rsidP="00B84C4C">
      <w:pPr>
        <w:spacing w:after="0" w:line="240" w:lineRule="auto"/>
        <w:ind w:left="720"/>
        <w:jc w:val="both"/>
        <w:rPr>
          <w:rFonts w:eastAsia="Times New Roman" w:cs="Times New Roman"/>
          <w:szCs w:val="24"/>
        </w:rPr>
      </w:pPr>
      <w:r>
        <w:rPr>
          <w:rFonts w:eastAsia="Times New Roman" w:cs="Times New Roman"/>
          <w:szCs w:val="24"/>
        </w:rPr>
        <w:t>(d) Provides that one member appointed under Subsection (c)(4) (relating to the appointment of representatives of the University of Houston (UH) of this section serves as the presiding officer of the task force, and one member appointed under Subsection (c)(5) (relating to the appointment of representatives of Texas Southern University) of this section serves as the assistant presiding officer.</w:t>
      </w:r>
    </w:p>
    <w:p w:rsidR="007A25EA" w:rsidRDefault="007A25EA" w:rsidP="00B84C4C">
      <w:pPr>
        <w:spacing w:after="0" w:line="240" w:lineRule="auto"/>
        <w:ind w:left="720"/>
        <w:jc w:val="both"/>
        <w:rPr>
          <w:rFonts w:eastAsia="Times New Roman" w:cs="Times New Roman"/>
          <w:szCs w:val="24"/>
        </w:rPr>
      </w:pPr>
    </w:p>
    <w:p w:rsidR="007A25EA" w:rsidRDefault="007A25EA" w:rsidP="00B84C4C">
      <w:pPr>
        <w:spacing w:after="0" w:line="240" w:lineRule="auto"/>
        <w:ind w:left="720"/>
        <w:jc w:val="both"/>
        <w:rPr>
          <w:rFonts w:eastAsia="Times New Roman" w:cs="Times New Roman"/>
          <w:szCs w:val="24"/>
        </w:rPr>
      </w:pPr>
      <w:r>
        <w:rPr>
          <w:rFonts w:eastAsia="Times New Roman" w:cs="Times New Roman"/>
          <w:szCs w:val="24"/>
        </w:rPr>
        <w:t>(e) Requires that the Hobby School of Public Affairs and the Cullen College of Engineering of UH provide necessary staff and administrative support to the task force.</w:t>
      </w:r>
    </w:p>
    <w:p w:rsidR="007A25EA" w:rsidRDefault="007A25EA" w:rsidP="00B84C4C">
      <w:pPr>
        <w:spacing w:after="0" w:line="240" w:lineRule="auto"/>
        <w:ind w:left="720"/>
        <w:jc w:val="both"/>
        <w:rPr>
          <w:rFonts w:eastAsia="Times New Roman" w:cs="Times New Roman"/>
          <w:szCs w:val="24"/>
        </w:rPr>
      </w:pPr>
    </w:p>
    <w:p w:rsidR="007A25EA" w:rsidRDefault="007A25EA" w:rsidP="00B84C4C">
      <w:pPr>
        <w:spacing w:after="0" w:line="240" w:lineRule="auto"/>
        <w:ind w:left="720"/>
        <w:jc w:val="both"/>
        <w:rPr>
          <w:rFonts w:eastAsia="Times New Roman" w:cs="Times New Roman"/>
          <w:szCs w:val="24"/>
        </w:rPr>
      </w:pPr>
      <w:r>
        <w:rPr>
          <w:rFonts w:eastAsia="Times New Roman" w:cs="Times New Roman"/>
          <w:szCs w:val="24"/>
        </w:rPr>
        <w:t xml:space="preserve">(f) Requires the task force to prepare a report that includes a description of the activities of the task force; the findings and recommendations of the task force, including any proposed policy recommendations; and any proposals for legislation or other matters the task force considers appropriate. </w:t>
      </w:r>
    </w:p>
    <w:p w:rsidR="007A25EA" w:rsidRDefault="007A25EA" w:rsidP="00B84C4C">
      <w:pPr>
        <w:spacing w:after="0" w:line="240" w:lineRule="auto"/>
        <w:ind w:left="720"/>
        <w:jc w:val="both"/>
        <w:rPr>
          <w:rFonts w:eastAsia="Times New Roman" w:cs="Times New Roman"/>
          <w:szCs w:val="24"/>
        </w:rPr>
      </w:pPr>
    </w:p>
    <w:p w:rsidR="007A25EA" w:rsidRDefault="007A25EA" w:rsidP="00B84C4C">
      <w:pPr>
        <w:spacing w:after="0" w:line="240" w:lineRule="auto"/>
        <w:ind w:left="720"/>
        <w:jc w:val="both"/>
        <w:rPr>
          <w:rFonts w:eastAsia="Times New Roman" w:cs="Times New Roman"/>
          <w:szCs w:val="24"/>
        </w:rPr>
      </w:pPr>
      <w:r>
        <w:rPr>
          <w:rFonts w:eastAsia="Times New Roman" w:cs="Times New Roman"/>
          <w:szCs w:val="24"/>
        </w:rPr>
        <w:t xml:space="preserve">(g) Requires the task force, not later than December 1, 2018, to submit the prepared report  to certain persons and entities. </w:t>
      </w:r>
    </w:p>
    <w:p w:rsidR="007A25EA" w:rsidRDefault="007A25EA" w:rsidP="00B84C4C">
      <w:pPr>
        <w:spacing w:after="0" w:line="240" w:lineRule="auto"/>
        <w:ind w:left="720"/>
        <w:jc w:val="both"/>
        <w:rPr>
          <w:rFonts w:eastAsia="Times New Roman" w:cs="Times New Roman"/>
          <w:szCs w:val="24"/>
        </w:rPr>
      </w:pPr>
    </w:p>
    <w:p w:rsidR="007A25EA" w:rsidRPr="005C2A78" w:rsidRDefault="007A25EA" w:rsidP="00B84C4C">
      <w:pPr>
        <w:spacing w:after="0" w:line="240" w:lineRule="auto"/>
        <w:ind w:left="720"/>
        <w:jc w:val="both"/>
        <w:rPr>
          <w:rFonts w:eastAsia="Times New Roman" w:cs="Times New Roman"/>
          <w:szCs w:val="24"/>
        </w:rPr>
      </w:pPr>
      <w:r>
        <w:rPr>
          <w:rFonts w:eastAsia="Times New Roman" w:cs="Times New Roman"/>
          <w:szCs w:val="24"/>
        </w:rPr>
        <w:t>(h) Provides that the task force is abolished and this Act expires January 1, 2019.</w:t>
      </w:r>
    </w:p>
    <w:p w:rsidR="007A25EA" w:rsidRPr="005C2A78" w:rsidRDefault="007A25EA" w:rsidP="000F1DF9">
      <w:pPr>
        <w:spacing w:after="0" w:line="240" w:lineRule="auto"/>
        <w:jc w:val="both"/>
        <w:rPr>
          <w:rFonts w:eastAsia="Times New Roman" w:cs="Times New Roman"/>
          <w:szCs w:val="24"/>
        </w:rPr>
      </w:pPr>
    </w:p>
    <w:p w:rsidR="007A25EA" w:rsidRPr="005C2A78" w:rsidRDefault="007A25EA"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Provides that this Act does not make an appropriation. Provides that a provision of this Act that imposes a new duty on a governmental entity is not mandatory during a fiscal period for which the legislature has not made a specific appropriation to implement the provision.</w:t>
      </w:r>
    </w:p>
    <w:p w:rsidR="007A25EA" w:rsidRPr="005C2A78" w:rsidRDefault="007A25EA" w:rsidP="000F1DF9">
      <w:pPr>
        <w:spacing w:after="0" w:line="240" w:lineRule="auto"/>
        <w:jc w:val="both"/>
        <w:rPr>
          <w:rFonts w:eastAsia="Times New Roman" w:cs="Times New Roman"/>
          <w:szCs w:val="24"/>
        </w:rPr>
      </w:pPr>
    </w:p>
    <w:p w:rsidR="007A25EA" w:rsidRPr="005C2A78" w:rsidRDefault="007A25EA"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upon passage or September 1, 2017.</w:t>
      </w:r>
    </w:p>
    <w:p w:rsidR="007A25EA" w:rsidRPr="006C5F25" w:rsidRDefault="007A25EA" w:rsidP="006C5F25"/>
    <w:p w:rsidR="007A25EA" w:rsidRPr="00406FDE" w:rsidRDefault="007A25EA" w:rsidP="00406FDE"/>
    <w:p w:rsidR="007A25EA" w:rsidRPr="00BF69E8" w:rsidRDefault="007A25EA" w:rsidP="00BF69E8"/>
    <w:p w:rsidR="00986E9F" w:rsidRPr="007A25EA" w:rsidRDefault="00986E9F" w:rsidP="007A25EA"/>
    <w:sectPr w:rsidR="00986E9F" w:rsidRPr="007A25EA" w:rsidSect="000F1DF9">
      <w:footerReference w:type="default" r:id="rId10"/>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2D17" w:rsidRDefault="00422D17" w:rsidP="000F1DF9">
      <w:pPr>
        <w:spacing w:after="0" w:line="240" w:lineRule="auto"/>
      </w:pPr>
      <w:r>
        <w:separator/>
      </w:r>
    </w:p>
  </w:endnote>
  <w:endnote w:type="continuationSeparator" w:id="0">
    <w:p w:rsidR="00422D17" w:rsidRDefault="00422D1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22D1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A25EA">
                <w:rPr>
                  <w:sz w:val="20"/>
                  <w:szCs w:val="20"/>
                </w:rPr>
                <w:t>LLM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A25EA">
                <w:rPr>
                  <w:sz w:val="20"/>
                  <w:szCs w:val="20"/>
                </w:rPr>
                <w:t>S.B. 1269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A25EA">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22D1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A25E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A25EA">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2D17" w:rsidRDefault="00422D17" w:rsidP="000F1DF9">
      <w:pPr>
        <w:spacing w:after="0" w:line="240" w:lineRule="auto"/>
      </w:pPr>
      <w:r>
        <w:separator/>
      </w:r>
    </w:p>
  </w:footnote>
  <w:footnote w:type="continuationSeparator" w:id="0">
    <w:p w:rsidR="00422D17" w:rsidRDefault="00422D17" w:rsidP="000F1D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B019B"/>
    <w:multiLevelType w:val="hybridMultilevel"/>
    <w:tmpl w:val="90824D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22D17"/>
    <w:rsid w:val="0045110C"/>
    <w:rsid w:val="00503AD0"/>
    <w:rsid w:val="005320AA"/>
    <w:rsid w:val="00544B9F"/>
    <w:rsid w:val="00585C31"/>
    <w:rsid w:val="005A7918"/>
    <w:rsid w:val="005E0AC7"/>
    <w:rsid w:val="005F46D7"/>
    <w:rsid w:val="00605CA0"/>
    <w:rsid w:val="006529C4"/>
    <w:rsid w:val="006D756B"/>
    <w:rsid w:val="00774EC7"/>
    <w:rsid w:val="007A25EA"/>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7A25EA"/>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7A25E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018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EC6ED5" w:rsidP="00EC6ED5">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3CE201A297F4DD283955F2E2554060C"/>
        <w:category>
          <w:name w:val="General"/>
          <w:gallery w:val="placeholder"/>
        </w:category>
        <w:types>
          <w:type w:val="bbPlcHdr"/>
        </w:types>
        <w:behaviors>
          <w:behavior w:val="content"/>
        </w:behaviors>
        <w:guid w:val="{375E4BD8-0391-4BA3-BF46-95839BC9DFB6}"/>
      </w:docPartPr>
      <w:docPartBody>
        <w:p w:rsidR="00000000" w:rsidRDefault="00795743"/>
      </w:docPartBody>
    </w:docPart>
    <w:docPart>
      <w:docPartPr>
        <w:name w:val="113E215A2F2642B98D61F9A096300F31"/>
        <w:category>
          <w:name w:val="General"/>
          <w:gallery w:val="placeholder"/>
        </w:category>
        <w:types>
          <w:type w:val="bbPlcHdr"/>
        </w:types>
        <w:behaviors>
          <w:behavior w:val="content"/>
        </w:behaviors>
        <w:guid w:val="{5712CBFB-0656-49C3-9803-9A00E357747F}"/>
      </w:docPartPr>
      <w:docPartBody>
        <w:p w:rsidR="00000000" w:rsidRDefault="00795743"/>
      </w:docPartBody>
    </w:docPart>
    <w:docPart>
      <w:docPartPr>
        <w:name w:val="F1A043FC91054D0DBC786898C41D1660"/>
        <w:category>
          <w:name w:val="General"/>
          <w:gallery w:val="placeholder"/>
        </w:category>
        <w:types>
          <w:type w:val="bbPlcHdr"/>
        </w:types>
        <w:behaviors>
          <w:behavior w:val="content"/>
        </w:behaviors>
        <w:guid w:val="{8C347F56-4CEF-482A-8E49-8A0FC0667A77}"/>
      </w:docPartPr>
      <w:docPartBody>
        <w:p w:rsidR="00000000" w:rsidRDefault="00795743"/>
      </w:docPartBody>
    </w:docPart>
    <w:docPart>
      <w:docPartPr>
        <w:name w:val="0B2785DDD19E415DA59DA93DCFA21F76"/>
        <w:category>
          <w:name w:val="General"/>
          <w:gallery w:val="placeholder"/>
        </w:category>
        <w:types>
          <w:type w:val="bbPlcHdr"/>
        </w:types>
        <w:behaviors>
          <w:behavior w:val="content"/>
        </w:behaviors>
        <w:guid w:val="{7A26B502-D5C4-4927-994E-BD2027CBB682}"/>
      </w:docPartPr>
      <w:docPartBody>
        <w:p w:rsidR="00000000" w:rsidRDefault="00795743"/>
      </w:docPartBody>
    </w:docPart>
    <w:docPart>
      <w:docPartPr>
        <w:name w:val="6EEC2F60AE1A44068EFB18BD0C5F9337"/>
        <w:category>
          <w:name w:val="General"/>
          <w:gallery w:val="placeholder"/>
        </w:category>
        <w:types>
          <w:type w:val="bbPlcHdr"/>
        </w:types>
        <w:behaviors>
          <w:behavior w:val="content"/>
        </w:behaviors>
        <w:guid w:val="{A66760F3-CCA1-4350-BEA8-A3BB3FE9BC9F}"/>
      </w:docPartPr>
      <w:docPartBody>
        <w:p w:rsidR="00000000" w:rsidRDefault="00795743"/>
      </w:docPartBody>
    </w:docPart>
    <w:docPart>
      <w:docPartPr>
        <w:name w:val="E5F66B1279B44F028999755BF252D427"/>
        <w:category>
          <w:name w:val="General"/>
          <w:gallery w:val="placeholder"/>
        </w:category>
        <w:types>
          <w:type w:val="bbPlcHdr"/>
        </w:types>
        <w:behaviors>
          <w:behavior w:val="content"/>
        </w:behaviors>
        <w:guid w:val="{DD848EC0-7CCB-4381-A4D3-B8D17F33E0B2}"/>
      </w:docPartPr>
      <w:docPartBody>
        <w:p w:rsidR="00000000" w:rsidRDefault="00795743"/>
      </w:docPartBody>
    </w:docPart>
    <w:docPart>
      <w:docPartPr>
        <w:name w:val="7E06E10AF4C941EE982B3F31EECE92E4"/>
        <w:category>
          <w:name w:val="General"/>
          <w:gallery w:val="placeholder"/>
        </w:category>
        <w:types>
          <w:type w:val="bbPlcHdr"/>
        </w:types>
        <w:behaviors>
          <w:behavior w:val="content"/>
        </w:behaviors>
        <w:guid w:val="{823723A1-18CC-4206-A8EB-7BC887C37F1B}"/>
      </w:docPartPr>
      <w:docPartBody>
        <w:p w:rsidR="00000000" w:rsidRDefault="00795743"/>
      </w:docPartBody>
    </w:docPart>
    <w:docPart>
      <w:docPartPr>
        <w:name w:val="9378C269A5744D659BF97180BB867400"/>
        <w:category>
          <w:name w:val="General"/>
          <w:gallery w:val="placeholder"/>
        </w:category>
        <w:types>
          <w:type w:val="bbPlcHdr"/>
        </w:types>
        <w:behaviors>
          <w:behavior w:val="content"/>
        </w:behaviors>
        <w:guid w:val="{F2FB4082-5912-4C87-95AD-960D8C7AC2AB}"/>
      </w:docPartPr>
      <w:docPartBody>
        <w:p w:rsidR="00000000" w:rsidRDefault="00795743"/>
      </w:docPartBody>
    </w:docPart>
    <w:docPart>
      <w:docPartPr>
        <w:name w:val="F373B851E99F4365877023A06DA49C43"/>
        <w:category>
          <w:name w:val="General"/>
          <w:gallery w:val="placeholder"/>
        </w:category>
        <w:types>
          <w:type w:val="bbPlcHdr"/>
        </w:types>
        <w:behaviors>
          <w:behavior w:val="content"/>
        </w:behaviors>
        <w:guid w:val="{20A0196C-0EA1-4A35-8D67-DDB6498FB812}"/>
      </w:docPartPr>
      <w:docPartBody>
        <w:p w:rsidR="00000000" w:rsidRDefault="00EC6ED5" w:rsidP="00EC6ED5">
          <w:pPr>
            <w:pStyle w:val="F373B851E99F4365877023A06DA49C43"/>
          </w:pPr>
          <w:r w:rsidRPr="00A30DD1">
            <w:rPr>
              <w:rStyle w:val="PlaceholderText"/>
            </w:rPr>
            <w:t>Click here to enter a date.</w:t>
          </w:r>
        </w:p>
      </w:docPartBody>
    </w:docPart>
    <w:docPart>
      <w:docPartPr>
        <w:name w:val="C8474945B94D4FB9A43E70939B39121F"/>
        <w:category>
          <w:name w:val="General"/>
          <w:gallery w:val="placeholder"/>
        </w:category>
        <w:types>
          <w:type w:val="bbPlcHdr"/>
        </w:types>
        <w:behaviors>
          <w:behavior w:val="content"/>
        </w:behaviors>
        <w:guid w:val="{7D11DBB7-092D-44E4-B6C7-312E47EFAE87}"/>
      </w:docPartPr>
      <w:docPartBody>
        <w:p w:rsidR="00000000" w:rsidRDefault="00795743"/>
      </w:docPartBody>
    </w:docPart>
    <w:docPart>
      <w:docPartPr>
        <w:name w:val="592C6A569121467FA2FB640ACD25A64E"/>
        <w:category>
          <w:name w:val="General"/>
          <w:gallery w:val="placeholder"/>
        </w:category>
        <w:types>
          <w:type w:val="bbPlcHdr"/>
        </w:types>
        <w:behaviors>
          <w:behavior w:val="content"/>
        </w:behaviors>
        <w:guid w:val="{3B613EE6-B002-49CB-848E-787CE2A2E0EE}"/>
      </w:docPartPr>
      <w:docPartBody>
        <w:p w:rsidR="00000000" w:rsidRDefault="00795743"/>
      </w:docPartBody>
    </w:docPart>
    <w:docPart>
      <w:docPartPr>
        <w:name w:val="4B25FE25B30D4B8D89D7949FAAEB548E"/>
        <w:category>
          <w:name w:val="General"/>
          <w:gallery w:val="placeholder"/>
        </w:category>
        <w:types>
          <w:type w:val="bbPlcHdr"/>
        </w:types>
        <w:behaviors>
          <w:behavior w:val="content"/>
        </w:behaviors>
        <w:guid w:val="{BBA0AF22-E869-444C-9791-80E3575D3092}"/>
      </w:docPartPr>
      <w:docPartBody>
        <w:p w:rsidR="00000000" w:rsidRDefault="00EC6ED5" w:rsidP="00EC6ED5">
          <w:pPr>
            <w:pStyle w:val="4B25FE25B30D4B8D89D7949FAAEB548E"/>
          </w:pPr>
          <w:r>
            <w:rPr>
              <w:rFonts w:eastAsia="Times New Roman" w:cs="Times New Roman"/>
              <w:bCs/>
              <w:szCs w:val="24"/>
            </w:rPr>
            <w:t xml:space="preserve"> </w:t>
          </w:r>
        </w:p>
      </w:docPartBody>
    </w:docPart>
    <w:docPart>
      <w:docPartPr>
        <w:name w:val="ACD4D16DF1EF43CDA6BD2919C35C7889"/>
        <w:category>
          <w:name w:val="General"/>
          <w:gallery w:val="placeholder"/>
        </w:category>
        <w:types>
          <w:type w:val="bbPlcHdr"/>
        </w:types>
        <w:behaviors>
          <w:behavior w:val="content"/>
        </w:behaviors>
        <w:guid w:val="{1484767A-AD83-4DD3-B713-79DC7A6C572B}"/>
      </w:docPartPr>
      <w:docPartBody>
        <w:p w:rsidR="00000000" w:rsidRDefault="00795743"/>
      </w:docPartBody>
    </w:docPart>
    <w:docPart>
      <w:docPartPr>
        <w:name w:val="8C7ACDC5AB0E4AD0BB1CF0A3B3A506EB"/>
        <w:category>
          <w:name w:val="General"/>
          <w:gallery w:val="placeholder"/>
        </w:category>
        <w:types>
          <w:type w:val="bbPlcHdr"/>
        </w:types>
        <w:behaviors>
          <w:behavior w:val="content"/>
        </w:behaviors>
        <w:guid w:val="{7616999C-239B-4538-9954-08F8ACF6F525}"/>
      </w:docPartPr>
      <w:docPartBody>
        <w:p w:rsidR="00000000" w:rsidRDefault="0079574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95743"/>
    <w:rsid w:val="008C55F7"/>
    <w:rsid w:val="0090598B"/>
    <w:rsid w:val="00984D6C"/>
    <w:rsid w:val="00A54AD6"/>
    <w:rsid w:val="00A57564"/>
    <w:rsid w:val="00B252A4"/>
    <w:rsid w:val="00B5530B"/>
    <w:rsid w:val="00C129E8"/>
    <w:rsid w:val="00C968BA"/>
    <w:rsid w:val="00D63E87"/>
    <w:rsid w:val="00D705C9"/>
    <w:rsid w:val="00E35A8C"/>
    <w:rsid w:val="00EC6ED5"/>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6ED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C6ED5"/>
    <w:rPr>
      <w:rFonts w:ascii="Times New Roman" w:hAnsi="Times New Roman"/>
      <w:sz w:val="24"/>
    </w:rPr>
  </w:style>
  <w:style w:type="paragraph" w:customStyle="1" w:styleId="487D89B4F8B34DB4967D41FE18F7F88D7">
    <w:name w:val="487D89B4F8B34DB4967D41FE18F7F88D7"/>
    <w:rsid w:val="00EC6ED5"/>
    <w:rPr>
      <w:rFonts w:ascii="Times New Roman" w:hAnsi="Times New Roman"/>
      <w:sz w:val="24"/>
    </w:rPr>
  </w:style>
  <w:style w:type="paragraph" w:customStyle="1" w:styleId="AE2570ED5D764CD7AF9686706F550F4620">
    <w:name w:val="AE2570ED5D764CD7AF9686706F550F4620"/>
    <w:rsid w:val="00EC6ED5"/>
    <w:pPr>
      <w:tabs>
        <w:tab w:val="center" w:pos="4680"/>
        <w:tab w:val="right" w:pos="9360"/>
      </w:tabs>
      <w:spacing w:after="0" w:line="240" w:lineRule="auto"/>
    </w:pPr>
    <w:rPr>
      <w:rFonts w:ascii="Times New Roman" w:hAnsi="Times New Roman"/>
      <w:sz w:val="24"/>
    </w:rPr>
  </w:style>
  <w:style w:type="paragraph" w:customStyle="1" w:styleId="F373B851E99F4365877023A06DA49C43">
    <w:name w:val="F373B851E99F4365877023A06DA49C43"/>
    <w:rsid w:val="00EC6ED5"/>
  </w:style>
  <w:style w:type="paragraph" w:customStyle="1" w:styleId="4B25FE25B30D4B8D89D7949FAAEB548E">
    <w:name w:val="4B25FE25B30D4B8D89D7949FAAEB548E"/>
    <w:rsid w:val="00EC6ED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6ED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C6ED5"/>
    <w:rPr>
      <w:rFonts w:ascii="Times New Roman" w:hAnsi="Times New Roman"/>
      <w:sz w:val="24"/>
    </w:rPr>
  </w:style>
  <w:style w:type="paragraph" w:customStyle="1" w:styleId="487D89B4F8B34DB4967D41FE18F7F88D7">
    <w:name w:val="487D89B4F8B34DB4967D41FE18F7F88D7"/>
    <w:rsid w:val="00EC6ED5"/>
    <w:rPr>
      <w:rFonts w:ascii="Times New Roman" w:hAnsi="Times New Roman"/>
      <w:sz w:val="24"/>
    </w:rPr>
  </w:style>
  <w:style w:type="paragraph" w:customStyle="1" w:styleId="AE2570ED5D764CD7AF9686706F550F4620">
    <w:name w:val="AE2570ED5D764CD7AF9686706F550F4620"/>
    <w:rsid w:val="00EC6ED5"/>
    <w:pPr>
      <w:tabs>
        <w:tab w:val="center" w:pos="4680"/>
        <w:tab w:val="right" w:pos="9360"/>
      </w:tabs>
      <w:spacing w:after="0" w:line="240" w:lineRule="auto"/>
    </w:pPr>
    <w:rPr>
      <w:rFonts w:ascii="Times New Roman" w:hAnsi="Times New Roman"/>
      <w:sz w:val="24"/>
    </w:rPr>
  </w:style>
  <w:style w:type="paragraph" w:customStyle="1" w:styleId="F373B851E99F4365877023A06DA49C43">
    <w:name w:val="F373B851E99F4365877023A06DA49C43"/>
    <w:rsid w:val="00EC6ED5"/>
  </w:style>
  <w:style w:type="paragraph" w:customStyle="1" w:styleId="4B25FE25B30D4B8D89D7949FAAEB548E">
    <w:name w:val="4B25FE25B30D4B8D89D7949FAAEB548E"/>
    <w:rsid w:val="00EC6E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75D2840-24AC-4285-981A-FD45CB198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833</Words>
  <Characters>4750</Characters>
  <Application>Microsoft Office Word</Application>
  <DocSecurity>0</DocSecurity>
  <Lines>39</Lines>
  <Paragraphs>11</Paragraphs>
  <ScaleCrop>false</ScaleCrop>
  <Company>Texas Legislative Council</Company>
  <LinksUpToDate>false</LinksUpToDate>
  <CharactersWithSpaces>5572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Lillian Marrs</cp:lastModifiedBy>
  <cp:revision>153</cp:revision>
  <cp:lastPrinted>2017-03-30T21:02:00Z</cp:lastPrinted>
  <dcterms:created xsi:type="dcterms:W3CDTF">2015-05-29T14:24:00Z</dcterms:created>
  <dcterms:modified xsi:type="dcterms:W3CDTF">2017-03-30T21:02:00Z</dcterms:modified>
</cp:coreProperties>
</file>

<file path=docProps/custom.xml><?xml version="1.0" encoding="utf-8"?>
<op:Properties xmlns:vt="http://schemas.openxmlformats.org/officeDocument/2006/docPropsVTypes" xmlns:op="http://schemas.openxmlformats.org/officeDocument/2006/custom-properties"/>
</file>