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42" w:rsidRDefault="00EA50C5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CA2915" w:rsidTr="00345119">
        <w:tc>
          <w:tcPr>
            <w:tcW w:w="9576" w:type="dxa"/>
            <w:noWrap/>
          </w:tcPr>
          <w:p w:rsidR="008423E4" w:rsidRPr="0022177D" w:rsidRDefault="00EA50C5" w:rsidP="00345119">
            <w:pPr>
              <w:pStyle w:val="Heading1"/>
            </w:pPr>
            <w:r w:rsidRPr="00631897">
              <w:t>BILL ANALYSIS</w:t>
            </w:r>
          </w:p>
        </w:tc>
      </w:tr>
    </w:tbl>
    <w:p w:rsidR="008423E4" w:rsidRPr="0022177D" w:rsidRDefault="00EA50C5" w:rsidP="008423E4">
      <w:pPr>
        <w:jc w:val="center"/>
      </w:pPr>
    </w:p>
    <w:p w:rsidR="008423E4" w:rsidRPr="00B31F0E" w:rsidRDefault="00EA50C5" w:rsidP="008423E4"/>
    <w:p w:rsidR="008423E4" w:rsidRPr="00742794" w:rsidRDefault="00EA50C5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A2915" w:rsidTr="00345119">
        <w:tc>
          <w:tcPr>
            <w:tcW w:w="9576" w:type="dxa"/>
          </w:tcPr>
          <w:p w:rsidR="008423E4" w:rsidRPr="00861995" w:rsidRDefault="00EA50C5" w:rsidP="00345119">
            <w:pPr>
              <w:jc w:val="right"/>
            </w:pPr>
            <w:r>
              <w:t>S.B. 1498</w:t>
            </w:r>
          </w:p>
        </w:tc>
      </w:tr>
      <w:tr w:rsidR="00CA2915" w:rsidTr="00345119">
        <w:tc>
          <w:tcPr>
            <w:tcW w:w="9576" w:type="dxa"/>
          </w:tcPr>
          <w:p w:rsidR="008423E4" w:rsidRPr="00861995" w:rsidRDefault="00EA50C5" w:rsidP="001C37E4">
            <w:pPr>
              <w:jc w:val="right"/>
            </w:pPr>
            <w:r>
              <w:t xml:space="preserve">By: </w:t>
            </w:r>
            <w:r>
              <w:t>Zaffirini</w:t>
            </w:r>
          </w:p>
        </w:tc>
      </w:tr>
      <w:tr w:rsidR="00CA2915" w:rsidTr="00345119">
        <w:tc>
          <w:tcPr>
            <w:tcW w:w="9576" w:type="dxa"/>
          </w:tcPr>
          <w:p w:rsidR="008423E4" w:rsidRPr="00861995" w:rsidRDefault="00EA50C5" w:rsidP="00345119">
            <w:pPr>
              <w:jc w:val="right"/>
            </w:pPr>
            <w:r>
              <w:t>Business &amp; Industry</w:t>
            </w:r>
          </w:p>
        </w:tc>
      </w:tr>
      <w:tr w:rsidR="00CA2915" w:rsidTr="00345119">
        <w:tc>
          <w:tcPr>
            <w:tcW w:w="9576" w:type="dxa"/>
          </w:tcPr>
          <w:p w:rsidR="008423E4" w:rsidRDefault="00EA50C5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EA50C5" w:rsidP="008423E4">
      <w:pPr>
        <w:tabs>
          <w:tab w:val="right" w:pos="9360"/>
        </w:tabs>
      </w:pPr>
    </w:p>
    <w:p w:rsidR="008423E4" w:rsidRDefault="00EA50C5" w:rsidP="008423E4"/>
    <w:p w:rsidR="008423E4" w:rsidRDefault="00EA50C5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CA2915" w:rsidTr="00A8327D">
        <w:tc>
          <w:tcPr>
            <w:tcW w:w="9582" w:type="dxa"/>
          </w:tcPr>
          <w:p w:rsidR="008423E4" w:rsidRPr="00A8133F" w:rsidRDefault="00EA50C5" w:rsidP="00B1797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EA50C5" w:rsidP="00B17973"/>
          <w:p w:rsidR="008423E4" w:rsidRDefault="00EA50C5" w:rsidP="00B17973">
            <w:pPr>
              <w:pStyle w:val="Header"/>
              <w:jc w:val="both"/>
            </w:pPr>
            <w:r>
              <w:t>Interested parties believe that state</w:t>
            </w:r>
            <w:r>
              <w:t xml:space="preserve"> level</w:t>
            </w:r>
            <w:r>
              <w:t xml:space="preserve"> regulation of temporary common worker employers is unnecessary. </w:t>
            </w:r>
            <w:r w:rsidRPr="007E2050">
              <w:t>S.B. 1498</w:t>
            </w:r>
            <w:r>
              <w:t xml:space="preserve"> seeks to </w:t>
            </w:r>
            <w:r>
              <w:t>revise provisions regulating such</w:t>
            </w:r>
            <w:r>
              <w:t xml:space="preserve"> employers.</w:t>
            </w:r>
          </w:p>
          <w:p w:rsidR="008423E4" w:rsidRPr="00E26B13" w:rsidRDefault="00EA50C5" w:rsidP="00B17973">
            <w:pPr>
              <w:rPr>
                <w:b/>
              </w:rPr>
            </w:pPr>
          </w:p>
        </w:tc>
      </w:tr>
      <w:tr w:rsidR="00CA2915" w:rsidTr="00A8327D">
        <w:tc>
          <w:tcPr>
            <w:tcW w:w="9582" w:type="dxa"/>
          </w:tcPr>
          <w:p w:rsidR="0017725B" w:rsidRDefault="00EA50C5" w:rsidP="00B179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EA50C5" w:rsidP="00B17973">
            <w:pPr>
              <w:rPr>
                <w:b/>
                <w:u w:val="single"/>
              </w:rPr>
            </w:pPr>
          </w:p>
          <w:p w:rsidR="00E84915" w:rsidRPr="00E84915" w:rsidRDefault="00EA50C5" w:rsidP="00B1797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</w:t>
            </w:r>
            <w:r>
              <w:t>the eligibility of a person for community supervision, parole, or mandatory supervision.</w:t>
            </w:r>
          </w:p>
          <w:p w:rsidR="0017725B" w:rsidRPr="0017725B" w:rsidRDefault="00EA50C5" w:rsidP="00B17973">
            <w:pPr>
              <w:rPr>
                <w:b/>
                <w:u w:val="single"/>
              </w:rPr>
            </w:pPr>
          </w:p>
        </w:tc>
      </w:tr>
      <w:tr w:rsidR="00CA2915" w:rsidTr="00A8327D">
        <w:tc>
          <w:tcPr>
            <w:tcW w:w="9582" w:type="dxa"/>
          </w:tcPr>
          <w:p w:rsidR="008423E4" w:rsidRPr="00A8133F" w:rsidRDefault="00EA50C5" w:rsidP="00B1797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EA50C5" w:rsidP="00B17973"/>
          <w:p w:rsidR="00E84915" w:rsidRDefault="00EA50C5" w:rsidP="00B179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</w:t>
            </w:r>
            <w:r>
              <w:t>cy, or institution.</w:t>
            </w:r>
          </w:p>
          <w:p w:rsidR="008423E4" w:rsidRPr="00E21FDC" w:rsidRDefault="00EA50C5" w:rsidP="00B17973">
            <w:pPr>
              <w:rPr>
                <w:b/>
              </w:rPr>
            </w:pPr>
          </w:p>
        </w:tc>
      </w:tr>
      <w:tr w:rsidR="00CA2915" w:rsidTr="00A8327D">
        <w:tc>
          <w:tcPr>
            <w:tcW w:w="9582" w:type="dxa"/>
          </w:tcPr>
          <w:p w:rsidR="008423E4" w:rsidRPr="00A8133F" w:rsidRDefault="00EA50C5" w:rsidP="00B1797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EA50C5" w:rsidP="00B17973"/>
          <w:p w:rsidR="00662BA4" w:rsidRDefault="00EA50C5" w:rsidP="00B179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E2050">
              <w:t>S.B. 1498</w:t>
            </w:r>
            <w:r>
              <w:t xml:space="preserve"> repeals </w:t>
            </w:r>
            <w:r>
              <w:t xml:space="preserve">Labor Code </w:t>
            </w:r>
            <w:r>
              <w:t xml:space="preserve">provisions </w:t>
            </w:r>
            <w:r>
              <w:t xml:space="preserve">relating to a temporary common worker employer license and </w:t>
            </w:r>
            <w:r>
              <w:t>requiring</w:t>
            </w:r>
            <w:r>
              <w:t xml:space="preserve"> the Texas Department of Licensing and Regulation (TDLR) and the </w:t>
            </w:r>
            <w:r w:rsidRPr="00256C2D">
              <w:t>Texas Commission of Licensing and Regulation</w:t>
            </w:r>
            <w:r>
              <w:t xml:space="preserve"> </w:t>
            </w:r>
            <w:r>
              <w:t xml:space="preserve">to </w:t>
            </w:r>
            <w:r>
              <w:t>exercise</w:t>
            </w:r>
            <w:r>
              <w:t xml:space="preserve"> </w:t>
            </w:r>
            <w:r>
              <w:t xml:space="preserve">related </w:t>
            </w:r>
            <w:r>
              <w:t>regulatory, administrative, and licensing authorit</w:t>
            </w:r>
            <w:r>
              <w:t>y</w:t>
            </w:r>
            <w:r>
              <w:t>.</w:t>
            </w:r>
            <w:r>
              <w:t xml:space="preserve"> </w:t>
            </w:r>
            <w:r>
              <w:t xml:space="preserve">The bill </w:t>
            </w:r>
            <w:r>
              <w:t xml:space="preserve">amends the Labor Code to </w:t>
            </w:r>
            <w:r>
              <w:t xml:space="preserve">instead </w:t>
            </w:r>
            <w:r>
              <w:t xml:space="preserve">authorize a governmental subdivision to enforce statutory provisions relating to temporary common worker employers within the boundaries of the </w:t>
            </w:r>
            <w:r>
              <w:t xml:space="preserve">governmental subdivision and to </w:t>
            </w:r>
            <w:r>
              <w:t xml:space="preserve">reflect </w:t>
            </w:r>
            <w:r>
              <w:t xml:space="preserve">that authorization and </w:t>
            </w:r>
            <w:r>
              <w:t xml:space="preserve">the repeal of </w:t>
            </w:r>
            <w:r>
              <w:t>TDLR and commission</w:t>
            </w:r>
            <w:r>
              <w:t xml:space="preserve"> regulation of temporary common worker employers and of </w:t>
            </w:r>
            <w:r>
              <w:t xml:space="preserve">certain licensing requirements </w:t>
            </w:r>
            <w:r>
              <w:t>for</w:t>
            </w:r>
            <w:r>
              <w:t xml:space="preserve"> </w:t>
            </w:r>
            <w:r>
              <w:t>such</w:t>
            </w:r>
            <w:r>
              <w:t xml:space="preserve"> employer</w:t>
            </w:r>
            <w:r>
              <w:t>s</w:t>
            </w:r>
            <w:r>
              <w:t>.</w:t>
            </w:r>
            <w:r>
              <w:t xml:space="preserve"> </w:t>
            </w:r>
            <w:r>
              <w:t xml:space="preserve">The bill </w:t>
            </w:r>
            <w:r>
              <w:t>authorize</w:t>
            </w:r>
            <w:r>
              <w:t>s</w:t>
            </w:r>
            <w:r>
              <w:t xml:space="preserve"> a person to </w:t>
            </w:r>
            <w:r w:rsidRPr="00662BA4">
              <w:t>operate as a temporar</w:t>
            </w:r>
            <w:r w:rsidRPr="00662BA4">
              <w:t xml:space="preserve">y common worker employer in </w:t>
            </w:r>
            <w:r>
              <w:t>Texas</w:t>
            </w:r>
            <w:r w:rsidRPr="00662BA4">
              <w:t xml:space="preserve"> if the p</w:t>
            </w:r>
            <w:r>
              <w:t>erson meets the</w:t>
            </w:r>
            <w:r>
              <w:t xml:space="preserve"> applicable statutory</w:t>
            </w:r>
            <w:r>
              <w:t xml:space="preserve"> requirements, subject to certain municipal </w:t>
            </w:r>
            <w:r>
              <w:t>requirements</w:t>
            </w:r>
            <w:r>
              <w:t xml:space="preserve"> and unless prohibited by a governmental subdivision.</w:t>
            </w:r>
            <w:r>
              <w:t xml:space="preserve"> </w:t>
            </w:r>
          </w:p>
          <w:p w:rsidR="00C63E96" w:rsidRDefault="00EA50C5" w:rsidP="00B17973">
            <w:pPr>
              <w:pStyle w:val="Header"/>
              <w:jc w:val="both"/>
            </w:pPr>
          </w:p>
          <w:p w:rsidR="001F132F" w:rsidRDefault="00EA50C5" w:rsidP="00B17973">
            <w:pPr>
              <w:pStyle w:val="Header"/>
              <w:jc w:val="both"/>
            </w:pPr>
            <w:r w:rsidRPr="007E2050">
              <w:t>S.B. 1498</w:t>
            </w:r>
            <w:r>
              <w:t xml:space="preserve"> dismisses a</w:t>
            </w:r>
            <w:r>
              <w:t xml:space="preserve">n administrative proceeding pending on the </w:t>
            </w:r>
            <w:r>
              <w:t>bi</w:t>
            </w:r>
            <w:r>
              <w:t xml:space="preserve">ll's </w:t>
            </w:r>
            <w:r>
              <w:t xml:space="preserve">effective date related to a violation of </w:t>
            </w:r>
            <w:r>
              <w:t xml:space="preserve">statutory </w:t>
            </w:r>
            <w:r>
              <w:t xml:space="preserve">provisions </w:t>
            </w:r>
            <w:r>
              <w:t>governing</w:t>
            </w:r>
            <w:r>
              <w:t xml:space="preserve"> temporary common worker employers</w:t>
            </w:r>
            <w:r>
              <w:t xml:space="preserve"> and</w:t>
            </w:r>
            <w:r>
              <w:t xml:space="preserve"> authorizes a</w:t>
            </w:r>
            <w:r>
              <w:t xml:space="preserve">n administrative penalty assessed by the </w:t>
            </w:r>
            <w:r>
              <w:t>c</w:t>
            </w:r>
            <w:r>
              <w:t xml:space="preserve">ommission or the executive director of </w:t>
            </w:r>
            <w:r>
              <w:t>TDLR</w:t>
            </w:r>
            <w:r>
              <w:t xml:space="preserve"> </w:t>
            </w:r>
            <w:r>
              <w:t xml:space="preserve">related to </w:t>
            </w:r>
            <w:r>
              <w:t xml:space="preserve">such </w:t>
            </w:r>
            <w:r>
              <w:t>a violation</w:t>
            </w:r>
            <w:r>
              <w:t xml:space="preserve">, as those </w:t>
            </w:r>
            <w:r>
              <w:t>provisions</w:t>
            </w:r>
            <w:r>
              <w:t xml:space="preserve"> existed immediately before the </w:t>
            </w:r>
            <w:r>
              <w:t xml:space="preserve">bill's </w:t>
            </w:r>
            <w:r>
              <w:t xml:space="preserve">effective date, </w:t>
            </w:r>
            <w:r>
              <w:t>to</w:t>
            </w:r>
            <w:r>
              <w:t xml:space="preserve"> be collected as provided by Occupations Code</w:t>
            </w:r>
            <w:r>
              <w:t xml:space="preserve"> provisions governing TDLR</w:t>
            </w:r>
            <w:r>
              <w:t xml:space="preserve">. </w:t>
            </w:r>
          </w:p>
          <w:p w:rsidR="001F132F" w:rsidRDefault="00EA50C5" w:rsidP="00B179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8423E4" w:rsidRPr="005F6DE1" w:rsidRDefault="00EA50C5" w:rsidP="00B179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7E2050">
              <w:t>S.B. 1498</w:t>
            </w:r>
            <w:r w:rsidRPr="005F6DE1">
              <w:t xml:space="preserve"> repeals the following provisions of the Labor Code:</w:t>
            </w:r>
          </w:p>
          <w:p w:rsidR="00256C2D" w:rsidRPr="005F6DE1" w:rsidRDefault="00EA50C5" w:rsidP="00B1797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 w:rsidRPr="005F6DE1">
              <w:t>Sections 92.002(1), (4), and (4-a)</w:t>
            </w:r>
          </w:p>
          <w:p w:rsidR="0032525F" w:rsidRPr="005F6DE1" w:rsidRDefault="00EA50C5" w:rsidP="00B1797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 w:rsidRPr="005F6DE1">
              <w:t>Section 92.003</w:t>
            </w:r>
          </w:p>
          <w:p w:rsidR="0032525F" w:rsidRPr="005F6DE1" w:rsidRDefault="00EA50C5" w:rsidP="00B1797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 w:rsidRPr="005F6DE1">
              <w:t>Section 92.004</w:t>
            </w:r>
            <w:r w:rsidRPr="005F6DE1">
              <w:t xml:space="preserve"> </w:t>
            </w:r>
          </w:p>
          <w:p w:rsidR="0032525F" w:rsidRPr="005F6DE1" w:rsidRDefault="00EA50C5" w:rsidP="00B1797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 w:rsidRPr="005F6DE1">
              <w:t>Section 92.011</w:t>
            </w:r>
          </w:p>
          <w:p w:rsidR="0032525F" w:rsidRPr="005F6DE1" w:rsidRDefault="00EA50C5" w:rsidP="00B1797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 w:rsidRPr="005F6DE1">
              <w:lastRenderedPageBreak/>
              <w:t>Section 92.013(a)</w:t>
            </w:r>
          </w:p>
          <w:p w:rsidR="0032525F" w:rsidRPr="005F6DE1" w:rsidRDefault="00EA50C5" w:rsidP="00B1797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 w:rsidRPr="005F6DE1">
              <w:t>Section 92.014</w:t>
            </w:r>
          </w:p>
          <w:p w:rsidR="0032525F" w:rsidRPr="005F6DE1" w:rsidRDefault="00EA50C5" w:rsidP="00B17973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 w:rsidRPr="005F6DE1">
              <w:t>Section 92.015</w:t>
            </w:r>
          </w:p>
          <w:p w:rsidR="006D72E9" w:rsidRDefault="00EA50C5" w:rsidP="00B17973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 w:rsidRPr="005F6DE1">
              <w:t>Section 92.023(a)</w:t>
            </w:r>
          </w:p>
          <w:p w:rsidR="008423E4" w:rsidRPr="00835628" w:rsidRDefault="00EA50C5" w:rsidP="00B17973">
            <w:pPr>
              <w:rPr>
                <w:b/>
              </w:rPr>
            </w:pPr>
          </w:p>
        </w:tc>
      </w:tr>
      <w:tr w:rsidR="00CA2915" w:rsidTr="00A8327D">
        <w:tc>
          <w:tcPr>
            <w:tcW w:w="9582" w:type="dxa"/>
          </w:tcPr>
          <w:p w:rsidR="008423E4" w:rsidRPr="00A8133F" w:rsidRDefault="00EA50C5" w:rsidP="00B17973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EA50C5" w:rsidP="00B17973"/>
          <w:p w:rsidR="008423E4" w:rsidRPr="003624F2" w:rsidRDefault="00EA50C5" w:rsidP="00B1797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EA50C5" w:rsidP="00B17973">
            <w:pPr>
              <w:rPr>
                <w:b/>
              </w:rPr>
            </w:pPr>
          </w:p>
        </w:tc>
      </w:tr>
      <w:tr w:rsidR="00CA2915" w:rsidTr="00A8327D">
        <w:tc>
          <w:tcPr>
            <w:tcW w:w="9582" w:type="dxa"/>
          </w:tcPr>
          <w:p w:rsidR="00817791" w:rsidRPr="00817791" w:rsidRDefault="00EA50C5" w:rsidP="00B17973">
            <w:pPr>
              <w:jc w:val="both"/>
            </w:pPr>
          </w:p>
        </w:tc>
      </w:tr>
      <w:tr w:rsidR="00CA2915" w:rsidTr="00A8327D">
        <w:tc>
          <w:tcPr>
            <w:tcW w:w="9582" w:type="dxa"/>
          </w:tcPr>
          <w:p w:rsidR="00A8327D" w:rsidRDefault="00EA50C5" w:rsidP="00B17973"/>
          <w:p w:rsidR="00A8327D" w:rsidRPr="009C1E9A" w:rsidRDefault="00EA50C5" w:rsidP="00B17973">
            <w:pPr>
              <w:rPr>
                <w:b/>
                <w:u w:val="single"/>
              </w:rPr>
            </w:pPr>
          </w:p>
        </w:tc>
      </w:tr>
    </w:tbl>
    <w:p w:rsidR="008423E4" w:rsidRPr="00BE0E75" w:rsidRDefault="00EA50C5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EA50C5" w:rsidP="008423E4"/>
    <w:sectPr w:rsidR="004108C3" w:rsidRPr="008423E4" w:rsidSect="006D504F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50C5">
      <w:r>
        <w:separator/>
      </w:r>
    </w:p>
  </w:endnote>
  <w:endnote w:type="continuationSeparator" w:id="0">
    <w:p w:rsidR="00000000" w:rsidRDefault="00EA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A2915" w:rsidTr="009C1E9A">
      <w:trPr>
        <w:cantSplit/>
      </w:trPr>
      <w:tc>
        <w:tcPr>
          <w:tcW w:w="0" w:type="pct"/>
        </w:tcPr>
        <w:p w:rsidR="00137D90" w:rsidRDefault="00EA50C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EA50C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EA50C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EA50C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EA50C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A2915" w:rsidTr="009C1E9A">
      <w:trPr>
        <w:cantSplit/>
      </w:trPr>
      <w:tc>
        <w:tcPr>
          <w:tcW w:w="0" w:type="pct"/>
        </w:tcPr>
        <w:p w:rsidR="00EC379B" w:rsidRDefault="00EA50C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EA50C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29232</w:t>
          </w:r>
        </w:p>
      </w:tc>
      <w:tc>
        <w:tcPr>
          <w:tcW w:w="2453" w:type="pct"/>
        </w:tcPr>
        <w:p w:rsidR="00EC379B" w:rsidRDefault="00EA50C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17.128.82</w:t>
          </w:r>
          <w:r>
            <w:fldChar w:fldCharType="end"/>
          </w:r>
        </w:p>
      </w:tc>
    </w:tr>
    <w:tr w:rsidR="00CA2915" w:rsidTr="009C1E9A">
      <w:trPr>
        <w:cantSplit/>
      </w:trPr>
      <w:tc>
        <w:tcPr>
          <w:tcW w:w="0" w:type="pct"/>
        </w:tcPr>
        <w:p w:rsidR="00EC379B" w:rsidRDefault="00EA50C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EA50C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EA50C5" w:rsidP="006D504F">
          <w:pPr>
            <w:pStyle w:val="Footer"/>
            <w:rPr>
              <w:rStyle w:val="PageNumber"/>
            </w:rPr>
          </w:pPr>
        </w:p>
        <w:p w:rsidR="00EC379B" w:rsidRDefault="00EA50C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A291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EA50C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EA50C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EA50C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50C5">
      <w:r>
        <w:separator/>
      </w:r>
    </w:p>
  </w:footnote>
  <w:footnote w:type="continuationSeparator" w:id="0">
    <w:p w:rsidR="00000000" w:rsidRDefault="00EA5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A65AC"/>
    <w:multiLevelType w:val="hybridMultilevel"/>
    <w:tmpl w:val="76621328"/>
    <w:lvl w:ilvl="0" w:tplc="BE74F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C8F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06E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DCBD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C3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64B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BC88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24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F8E9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15"/>
    <w:rsid w:val="00CA2915"/>
    <w:rsid w:val="00E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252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52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525F"/>
  </w:style>
  <w:style w:type="paragraph" w:styleId="CommentSubject">
    <w:name w:val="annotation subject"/>
    <w:basedOn w:val="CommentText"/>
    <w:next w:val="CommentText"/>
    <w:link w:val="CommentSubjectChar"/>
    <w:rsid w:val="00325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52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252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52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525F"/>
  </w:style>
  <w:style w:type="paragraph" w:styleId="CommentSubject">
    <w:name w:val="annotation subject"/>
    <w:basedOn w:val="CommentText"/>
    <w:next w:val="CommentText"/>
    <w:link w:val="CommentSubjectChar"/>
    <w:rsid w:val="00325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5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2060</Characters>
  <Application>Microsoft Office Word</Application>
  <DocSecurity>4</DocSecurity>
  <Lines>66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SB01498 (Committee Report (Unamended))</vt:lpstr>
    </vt:vector>
  </TitlesOfParts>
  <Company>State of Texas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29232</dc:subject>
  <dc:creator>State of Texas</dc:creator>
  <dc:description>SB 1498 by Zaffirini-(H)Business &amp; Industry</dc:description>
  <cp:lastModifiedBy>Molly Hoffman-Bricker</cp:lastModifiedBy>
  <cp:revision>2</cp:revision>
  <cp:lastPrinted>2017-05-08T14:19:00Z</cp:lastPrinted>
  <dcterms:created xsi:type="dcterms:W3CDTF">2017-05-09T16:15:00Z</dcterms:created>
  <dcterms:modified xsi:type="dcterms:W3CDTF">2017-05-09T16:15:00Z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17.128.82</vt:lpwstr>
  </property>
</Properties>
</file>