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F57C8" w:rsidTr="00345119">
        <w:tc>
          <w:tcPr>
            <w:tcW w:w="9576" w:type="dxa"/>
            <w:noWrap/>
          </w:tcPr>
          <w:p w:rsidR="008423E4" w:rsidRPr="0022177D" w:rsidRDefault="006C2E02" w:rsidP="00345119">
            <w:pPr>
              <w:pStyle w:val="Heading1"/>
            </w:pPr>
            <w:bookmarkStart w:id="0" w:name="_GoBack"/>
            <w:bookmarkEnd w:id="0"/>
            <w:r w:rsidRPr="00631897">
              <w:t>BILL ANALYSIS</w:t>
            </w:r>
          </w:p>
        </w:tc>
      </w:tr>
    </w:tbl>
    <w:p w:rsidR="008423E4" w:rsidRPr="0022177D" w:rsidRDefault="006C2E02" w:rsidP="008423E4">
      <w:pPr>
        <w:jc w:val="center"/>
      </w:pPr>
    </w:p>
    <w:p w:rsidR="008423E4" w:rsidRPr="00B31F0E" w:rsidRDefault="006C2E02" w:rsidP="008423E4"/>
    <w:p w:rsidR="008423E4" w:rsidRPr="00742794" w:rsidRDefault="006C2E02" w:rsidP="008423E4">
      <w:pPr>
        <w:tabs>
          <w:tab w:val="right" w:pos="9360"/>
        </w:tabs>
      </w:pPr>
    </w:p>
    <w:tbl>
      <w:tblPr>
        <w:tblW w:w="0" w:type="auto"/>
        <w:tblLayout w:type="fixed"/>
        <w:tblLook w:val="01E0" w:firstRow="1" w:lastRow="1" w:firstColumn="1" w:lastColumn="1" w:noHBand="0" w:noVBand="0"/>
      </w:tblPr>
      <w:tblGrid>
        <w:gridCol w:w="9576"/>
      </w:tblGrid>
      <w:tr w:rsidR="00DF57C8" w:rsidTr="00345119">
        <w:tc>
          <w:tcPr>
            <w:tcW w:w="9576" w:type="dxa"/>
          </w:tcPr>
          <w:p w:rsidR="008423E4" w:rsidRPr="00861995" w:rsidRDefault="006C2E02" w:rsidP="00345119">
            <w:pPr>
              <w:jc w:val="right"/>
            </w:pPr>
            <w:r>
              <w:t>S.B. 1514</w:t>
            </w:r>
          </w:p>
        </w:tc>
      </w:tr>
      <w:tr w:rsidR="00DF57C8" w:rsidTr="00345119">
        <w:tc>
          <w:tcPr>
            <w:tcW w:w="9576" w:type="dxa"/>
          </w:tcPr>
          <w:p w:rsidR="008423E4" w:rsidRPr="00861995" w:rsidRDefault="006C2E02" w:rsidP="00345119">
            <w:pPr>
              <w:jc w:val="right"/>
            </w:pPr>
            <w:r>
              <w:t xml:space="preserve">By: </w:t>
            </w:r>
            <w:r>
              <w:t>Estes</w:t>
            </w:r>
          </w:p>
        </w:tc>
      </w:tr>
      <w:tr w:rsidR="00DF57C8" w:rsidTr="00345119">
        <w:tc>
          <w:tcPr>
            <w:tcW w:w="9576" w:type="dxa"/>
          </w:tcPr>
          <w:p w:rsidR="008423E4" w:rsidRPr="00861995" w:rsidRDefault="006C2E02" w:rsidP="00345119">
            <w:pPr>
              <w:jc w:val="right"/>
            </w:pPr>
            <w:r>
              <w:t>Ways &amp; Means</w:t>
            </w:r>
          </w:p>
        </w:tc>
      </w:tr>
      <w:tr w:rsidR="00DF57C8" w:rsidTr="00345119">
        <w:tc>
          <w:tcPr>
            <w:tcW w:w="9576" w:type="dxa"/>
          </w:tcPr>
          <w:p w:rsidR="008423E4" w:rsidRDefault="006C2E02" w:rsidP="00345119">
            <w:pPr>
              <w:jc w:val="right"/>
            </w:pPr>
            <w:r>
              <w:t>Committee Report (Unamended)</w:t>
            </w:r>
          </w:p>
        </w:tc>
      </w:tr>
    </w:tbl>
    <w:p w:rsidR="008423E4" w:rsidRDefault="006C2E02" w:rsidP="008423E4">
      <w:pPr>
        <w:tabs>
          <w:tab w:val="right" w:pos="9360"/>
        </w:tabs>
      </w:pPr>
    </w:p>
    <w:p w:rsidR="008423E4" w:rsidRDefault="006C2E02" w:rsidP="008423E4"/>
    <w:p w:rsidR="008423E4" w:rsidRDefault="006C2E02" w:rsidP="008423E4"/>
    <w:tbl>
      <w:tblPr>
        <w:tblW w:w="0" w:type="auto"/>
        <w:tblCellMar>
          <w:left w:w="115" w:type="dxa"/>
          <w:right w:w="115" w:type="dxa"/>
        </w:tblCellMar>
        <w:tblLook w:val="01E0" w:firstRow="1" w:lastRow="1" w:firstColumn="1" w:lastColumn="1" w:noHBand="0" w:noVBand="0"/>
      </w:tblPr>
      <w:tblGrid>
        <w:gridCol w:w="9576"/>
      </w:tblGrid>
      <w:tr w:rsidR="00DF57C8" w:rsidTr="00345119">
        <w:tc>
          <w:tcPr>
            <w:tcW w:w="9576" w:type="dxa"/>
          </w:tcPr>
          <w:p w:rsidR="008423E4" w:rsidRPr="00A8133F" w:rsidRDefault="006C2E02" w:rsidP="009009D0">
            <w:pPr>
              <w:rPr>
                <w:b/>
              </w:rPr>
            </w:pPr>
            <w:r w:rsidRPr="009C1E9A">
              <w:rPr>
                <w:b/>
                <w:u w:val="single"/>
              </w:rPr>
              <w:t>BACKGROUND AND PURPOSE</w:t>
            </w:r>
            <w:r>
              <w:rPr>
                <w:b/>
              </w:rPr>
              <w:t xml:space="preserve"> </w:t>
            </w:r>
          </w:p>
          <w:p w:rsidR="008423E4" w:rsidRDefault="006C2E02" w:rsidP="009009D0"/>
          <w:p w:rsidR="008423E4" w:rsidRDefault="006C2E02" w:rsidP="009009D0">
            <w:pPr>
              <w:pStyle w:val="Header"/>
              <w:tabs>
                <w:tab w:val="clear" w:pos="4320"/>
                <w:tab w:val="clear" w:pos="8640"/>
              </w:tabs>
              <w:jc w:val="both"/>
            </w:pPr>
            <w:r>
              <w:t xml:space="preserve">Interested parties note that oil and gas exploration and production is not included as a use for which land qualifies for appraisal as </w:t>
            </w:r>
            <w:r>
              <w:t>open-space land for property tax purposes and contend that this harms landowners who ordinarily have little, if any, say in whether facilities for oilfields are built or where they are located. S.B. 1514</w:t>
            </w:r>
            <w:r w:rsidRPr="00537DA0">
              <w:t xml:space="preserve"> seeks to </w:t>
            </w:r>
            <w:r>
              <w:t>provide for</w:t>
            </w:r>
            <w:r w:rsidRPr="00537DA0">
              <w:t xml:space="preserve"> the eligibility of land </w:t>
            </w:r>
            <w:r>
              <w:t>to cont</w:t>
            </w:r>
            <w:r>
              <w:t xml:space="preserve">inue to be appraised </w:t>
            </w:r>
            <w:r w:rsidRPr="00537DA0">
              <w:t xml:space="preserve">for </w:t>
            </w:r>
            <w:r>
              <w:t>property tax purposes</w:t>
            </w:r>
            <w:r w:rsidRPr="00537DA0">
              <w:t xml:space="preserve"> </w:t>
            </w:r>
            <w:r>
              <w:t>as qualified open-space land if the land begins to be used for oil and gas operations</w:t>
            </w:r>
            <w:r w:rsidRPr="00537DA0">
              <w:t>.</w:t>
            </w:r>
          </w:p>
          <w:p w:rsidR="008423E4" w:rsidRPr="00E26B13" w:rsidRDefault="006C2E02" w:rsidP="009009D0">
            <w:pPr>
              <w:rPr>
                <w:b/>
              </w:rPr>
            </w:pPr>
          </w:p>
        </w:tc>
      </w:tr>
      <w:tr w:rsidR="00DF57C8" w:rsidTr="00345119">
        <w:tc>
          <w:tcPr>
            <w:tcW w:w="9576" w:type="dxa"/>
          </w:tcPr>
          <w:p w:rsidR="0017725B" w:rsidRDefault="006C2E02" w:rsidP="009009D0">
            <w:pPr>
              <w:rPr>
                <w:b/>
                <w:u w:val="single"/>
              </w:rPr>
            </w:pPr>
            <w:r>
              <w:rPr>
                <w:b/>
                <w:u w:val="single"/>
              </w:rPr>
              <w:t>CRIMINAL JUSTICE IMPACT</w:t>
            </w:r>
          </w:p>
          <w:p w:rsidR="0017725B" w:rsidRDefault="006C2E02" w:rsidP="009009D0">
            <w:pPr>
              <w:rPr>
                <w:b/>
                <w:u w:val="single"/>
              </w:rPr>
            </w:pPr>
          </w:p>
          <w:p w:rsidR="00237BE8" w:rsidRPr="00237BE8" w:rsidRDefault="006C2E02" w:rsidP="009009D0">
            <w:pPr>
              <w:jc w:val="both"/>
            </w:pPr>
            <w:r>
              <w:t>It is the committee's opinion that this bill does not expressly create a criminal offense, incr</w:t>
            </w:r>
            <w:r>
              <w:t>ease the punishment for an existing criminal offense or category of offenses, or change the eligibility of a person for community supervision, parole, or mandatory supervision.</w:t>
            </w:r>
          </w:p>
          <w:p w:rsidR="0017725B" w:rsidRPr="0017725B" w:rsidRDefault="006C2E02" w:rsidP="009009D0">
            <w:pPr>
              <w:rPr>
                <w:b/>
                <w:u w:val="single"/>
              </w:rPr>
            </w:pPr>
          </w:p>
        </w:tc>
      </w:tr>
      <w:tr w:rsidR="00DF57C8" w:rsidTr="00345119">
        <w:tc>
          <w:tcPr>
            <w:tcW w:w="9576" w:type="dxa"/>
          </w:tcPr>
          <w:p w:rsidR="008423E4" w:rsidRPr="00A8133F" w:rsidRDefault="006C2E02" w:rsidP="009009D0">
            <w:pPr>
              <w:rPr>
                <w:b/>
              </w:rPr>
            </w:pPr>
            <w:r w:rsidRPr="009C1E9A">
              <w:rPr>
                <w:b/>
                <w:u w:val="single"/>
              </w:rPr>
              <w:t>RULEMAKING AUTHORITY</w:t>
            </w:r>
            <w:r>
              <w:rPr>
                <w:b/>
              </w:rPr>
              <w:t xml:space="preserve"> </w:t>
            </w:r>
          </w:p>
          <w:p w:rsidR="008423E4" w:rsidRDefault="006C2E02" w:rsidP="009009D0"/>
          <w:p w:rsidR="00237BE8" w:rsidRDefault="006C2E02" w:rsidP="009009D0">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6C2E02" w:rsidP="009009D0">
            <w:pPr>
              <w:rPr>
                <w:b/>
              </w:rPr>
            </w:pPr>
          </w:p>
        </w:tc>
      </w:tr>
      <w:tr w:rsidR="00DF57C8" w:rsidTr="00345119">
        <w:tc>
          <w:tcPr>
            <w:tcW w:w="9576" w:type="dxa"/>
          </w:tcPr>
          <w:p w:rsidR="008423E4" w:rsidRPr="00A8133F" w:rsidRDefault="006C2E02" w:rsidP="009009D0">
            <w:pPr>
              <w:rPr>
                <w:b/>
              </w:rPr>
            </w:pPr>
            <w:r w:rsidRPr="009C1E9A">
              <w:rPr>
                <w:b/>
                <w:u w:val="single"/>
              </w:rPr>
              <w:t>ANALYSIS</w:t>
            </w:r>
            <w:r>
              <w:rPr>
                <w:b/>
              </w:rPr>
              <w:t xml:space="preserve"> </w:t>
            </w:r>
          </w:p>
          <w:p w:rsidR="008423E4" w:rsidRDefault="006C2E02" w:rsidP="009009D0"/>
          <w:p w:rsidR="008423E4" w:rsidRDefault="006C2E02" w:rsidP="009009D0">
            <w:pPr>
              <w:pStyle w:val="Header"/>
              <w:tabs>
                <w:tab w:val="clear" w:pos="4320"/>
                <w:tab w:val="clear" w:pos="8640"/>
              </w:tabs>
              <w:jc w:val="both"/>
            </w:pPr>
            <w:r>
              <w:t xml:space="preserve">S.B. 1514 amends the Tax Code to establish that </w:t>
            </w:r>
            <w:r>
              <w:t xml:space="preserve">the eligibility of </w:t>
            </w:r>
            <w:r w:rsidRPr="004E2621">
              <w:t xml:space="preserve">land </w:t>
            </w:r>
            <w:r>
              <w:t xml:space="preserve">for appraisal as agricultural land </w:t>
            </w:r>
            <w:r>
              <w:t xml:space="preserve">does not end </w:t>
            </w:r>
            <w:r>
              <w:t xml:space="preserve">because </w:t>
            </w:r>
            <w:r w:rsidRPr="004E2621">
              <w:t xml:space="preserve">a lessee under an oil and gas lease begins conducting oil and gas operations over which the Railroad Commission of Texas has jurisdiction on the land if the portion of the land on which oil and gas operations are not being conducted otherwise continues to </w:t>
            </w:r>
            <w:r w:rsidRPr="004E2621">
              <w:t xml:space="preserve">qualify for appraisal </w:t>
            </w:r>
            <w:r>
              <w:t>as agricultural land</w:t>
            </w:r>
            <w:r w:rsidRPr="004E2621">
              <w:t>.</w:t>
            </w:r>
          </w:p>
          <w:p w:rsidR="008423E4" w:rsidRPr="00835628" w:rsidRDefault="006C2E02" w:rsidP="009009D0">
            <w:pPr>
              <w:rPr>
                <w:b/>
              </w:rPr>
            </w:pPr>
          </w:p>
        </w:tc>
      </w:tr>
      <w:tr w:rsidR="00DF57C8" w:rsidTr="00345119">
        <w:tc>
          <w:tcPr>
            <w:tcW w:w="9576" w:type="dxa"/>
          </w:tcPr>
          <w:p w:rsidR="008423E4" w:rsidRPr="00A8133F" w:rsidRDefault="006C2E02" w:rsidP="009009D0">
            <w:pPr>
              <w:rPr>
                <w:b/>
              </w:rPr>
            </w:pPr>
            <w:r w:rsidRPr="009C1E9A">
              <w:rPr>
                <w:b/>
                <w:u w:val="single"/>
              </w:rPr>
              <w:t>EFFECTIVE DATE</w:t>
            </w:r>
            <w:r>
              <w:rPr>
                <w:b/>
              </w:rPr>
              <w:t xml:space="preserve"> </w:t>
            </w:r>
          </w:p>
          <w:p w:rsidR="008423E4" w:rsidRDefault="006C2E02" w:rsidP="009009D0"/>
          <w:p w:rsidR="008423E4" w:rsidRPr="00936AF7" w:rsidRDefault="006C2E02" w:rsidP="009009D0">
            <w:pPr>
              <w:pStyle w:val="Header"/>
              <w:tabs>
                <w:tab w:val="clear" w:pos="4320"/>
                <w:tab w:val="clear" w:pos="8640"/>
              </w:tabs>
              <w:jc w:val="both"/>
            </w:pPr>
            <w:r>
              <w:t xml:space="preserve">The date on which the constitutional </w:t>
            </w:r>
            <w:r w:rsidRPr="00237BE8">
              <w:t xml:space="preserve">amendment </w:t>
            </w:r>
            <w:r w:rsidRPr="00237BE8">
              <w:t xml:space="preserve">authorizing the legislature to provide that the eligibility of open-space land for </w:t>
            </w:r>
            <w:r>
              <w:t xml:space="preserve">property </w:t>
            </w:r>
            <w:r w:rsidRPr="00237BE8">
              <w:t xml:space="preserve">taxation on the basis of its productive capacity does </w:t>
            </w:r>
            <w:r w:rsidRPr="00237BE8">
              <w:t>not end because an oil and gas lessee begins conducting oil and gas operations on the land if the land otherwise continues to be devoted to farm, ranch, or wildlife management purposes or timber production is approved by the voters</w:t>
            </w:r>
            <w:r>
              <w:t xml:space="preserve"> </w:t>
            </w:r>
            <w:r w:rsidRPr="00237BE8">
              <w:t>takes effect</w:t>
            </w:r>
            <w:r>
              <w:t>, if approve</w:t>
            </w:r>
            <w:r>
              <w:t>d by the voters.</w:t>
            </w:r>
          </w:p>
          <w:p w:rsidR="008423E4" w:rsidRPr="00233FDB" w:rsidRDefault="006C2E02" w:rsidP="009009D0">
            <w:pPr>
              <w:rPr>
                <w:b/>
              </w:rPr>
            </w:pPr>
          </w:p>
        </w:tc>
      </w:tr>
    </w:tbl>
    <w:p w:rsidR="008423E4" w:rsidRPr="00BE0E75" w:rsidRDefault="006C2E02" w:rsidP="008423E4">
      <w:pPr>
        <w:spacing w:line="480" w:lineRule="auto"/>
        <w:jc w:val="both"/>
        <w:rPr>
          <w:rFonts w:ascii="Arial" w:hAnsi="Arial"/>
          <w:sz w:val="16"/>
          <w:szCs w:val="16"/>
        </w:rPr>
      </w:pPr>
    </w:p>
    <w:p w:rsidR="004108C3" w:rsidRPr="008423E4" w:rsidRDefault="006C2E0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2E02">
      <w:r>
        <w:separator/>
      </w:r>
    </w:p>
  </w:endnote>
  <w:endnote w:type="continuationSeparator" w:id="0">
    <w:p w:rsidR="00000000" w:rsidRDefault="006C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F57C8" w:rsidTr="009C1E9A">
      <w:trPr>
        <w:cantSplit/>
      </w:trPr>
      <w:tc>
        <w:tcPr>
          <w:tcW w:w="0" w:type="pct"/>
        </w:tcPr>
        <w:p w:rsidR="00137D90" w:rsidRDefault="006C2E02" w:rsidP="009C1E9A">
          <w:pPr>
            <w:pStyle w:val="Footer"/>
            <w:tabs>
              <w:tab w:val="clear" w:pos="8640"/>
              <w:tab w:val="right" w:pos="9360"/>
            </w:tabs>
          </w:pPr>
        </w:p>
      </w:tc>
      <w:tc>
        <w:tcPr>
          <w:tcW w:w="2395" w:type="pct"/>
        </w:tcPr>
        <w:p w:rsidR="00137D90" w:rsidRDefault="006C2E02" w:rsidP="009C1E9A">
          <w:pPr>
            <w:pStyle w:val="Footer"/>
            <w:tabs>
              <w:tab w:val="clear" w:pos="8640"/>
              <w:tab w:val="right" w:pos="9360"/>
            </w:tabs>
          </w:pPr>
        </w:p>
        <w:p w:rsidR="001A4310" w:rsidRDefault="006C2E02" w:rsidP="009C1E9A">
          <w:pPr>
            <w:pStyle w:val="Footer"/>
            <w:tabs>
              <w:tab w:val="clear" w:pos="8640"/>
              <w:tab w:val="right" w:pos="9360"/>
            </w:tabs>
          </w:pPr>
        </w:p>
        <w:p w:rsidR="00137D90" w:rsidRDefault="006C2E02" w:rsidP="009C1E9A">
          <w:pPr>
            <w:pStyle w:val="Footer"/>
            <w:tabs>
              <w:tab w:val="clear" w:pos="8640"/>
              <w:tab w:val="right" w:pos="9360"/>
            </w:tabs>
          </w:pPr>
        </w:p>
      </w:tc>
      <w:tc>
        <w:tcPr>
          <w:tcW w:w="2453" w:type="pct"/>
        </w:tcPr>
        <w:p w:rsidR="00137D90" w:rsidRDefault="006C2E02" w:rsidP="009C1E9A">
          <w:pPr>
            <w:pStyle w:val="Footer"/>
            <w:tabs>
              <w:tab w:val="clear" w:pos="8640"/>
              <w:tab w:val="right" w:pos="9360"/>
            </w:tabs>
            <w:jc w:val="right"/>
          </w:pPr>
        </w:p>
      </w:tc>
    </w:tr>
    <w:tr w:rsidR="00DF57C8" w:rsidTr="009C1E9A">
      <w:trPr>
        <w:cantSplit/>
      </w:trPr>
      <w:tc>
        <w:tcPr>
          <w:tcW w:w="0" w:type="pct"/>
        </w:tcPr>
        <w:p w:rsidR="00EC379B" w:rsidRDefault="006C2E02" w:rsidP="009C1E9A">
          <w:pPr>
            <w:pStyle w:val="Footer"/>
            <w:tabs>
              <w:tab w:val="clear" w:pos="8640"/>
              <w:tab w:val="right" w:pos="9360"/>
            </w:tabs>
          </w:pPr>
        </w:p>
      </w:tc>
      <w:tc>
        <w:tcPr>
          <w:tcW w:w="2395" w:type="pct"/>
        </w:tcPr>
        <w:p w:rsidR="00EC379B" w:rsidRPr="009C1E9A" w:rsidRDefault="006C2E02" w:rsidP="009C1E9A">
          <w:pPr>
            <w:pStyle w:val="Footer"/>
            <w:tabs>
              <w:tab w:val="clear" w:pos="8640"/>
              <w:tab w:val="right" w:pos="9360"/>
            </w:tabs>
            <w:rPr>
              <w:rFonts w:ascii="Shruti" w:hAnsi="Shruti"/>
              <w:sz w:val="22"/>
            </w:rPr>
          </w:pPr>
          <w:r>
            <w:rPr>
              <w:rFonts w:ascii="Shruti" w:hAnsi="Shruti"/>
              <w:sz w:val="22"/>
            </w:rPr>
            <w:t>85R 31732</w:t>
          </w:r>
        </w:p>
      </w:tc>
      <w:tc>
        <w:tcPr>
          <w:tcW w:w="2453" w:type="pct"/>
        </w:tcPr>
        <w:p w:rsidR="00EC379B" w:rsidRDefault="006C2E02" w:rsidP="009C1E9A">
          <w:pPr>
            <w:pStyle w:val="Footer"/>
            <w:tabs>
              <w:tab w:val="clear" w:pos="8640"/>
              <w:tab w:val="right" w:pos="9360"/>
            </w:tabs>
            <w:jc w:val="right"/>
          </w:pPr>
          <w:r>
            <w:fldChar w:fldCharType="begin"/>
          </w:r>
          <w:r>
            <w:instrText xml:space="preserve"> DOCPROPERTY  OTID  \* MERGEFORMAT </w:instrText>
          </w:r>
          <w:r>
            <w:fldChar w:fldCharType="separate"/>
          </w:r>
          <w:r>
            <w:t>17.137.503</w:t>
          </w:r>
          <w:r>
            <w:fldChar w:fldCharType="end"/>
          </w:r>
        </w:p>
      </w:tc>
    </w:tr>
    <w:tr w:rsidR="00DF57C8" w:rsidTr="009C1E9A">
      <w:trPr>
        <w:cantSplit/>
      </w:trPr>
      <w:tc>
        <w:tcPr>
          <w:tcW w:w="0" w:type="pct"/>
        </w:tcPr>
        <w:p w:rsidR="00EC379B" w:rsidRDefault="006C2E02" w:rsidP="009C1E9A">
          <w:pPr>
            <w:pStyle w:val="Footer"/>
            <w:tabs>
              <w:tab w:val="clear" w:pos="4320"/>
              <w:tab w:val="clear" w:pos="8640"/>
              <w:tab w:val="left" w:pos="2865"/>
            </w:tabs>
          </w:pPr>
        </w:p>
      </w:tc>
      <w:tc>
        <w:tcPr>
          <w:tcW w:w="2395" w:type="pct"/>
        </w:tcPr>
        <w:p w:rsidR="00EC379B" w:rsidRPr="009C1E9A" w:rsidRDefault="006C2E02" w:rsidP="009C1E9A">
          <w:pPr>
            <w:pStyle w:val="Footer"/>
            <w:tabs>
              <w:tab w:val="clear" w:pos="4320"/>
              <w:tab w:val="clear" w:pos="8640"/>
              <w:tab w:val="left" w:pos="2865"/>
            </w:tabs>
            <w:rPr>
              <w:rFonts w:ascii="Shruti" w:hAnsi="Shruti"/>
              <w:sz w:val="22"/>
            </w:rPr>
          </w:pPr>
        </w:p>
      </w:tc>
      <w:tc>
        <w:tcPr>
          <w:tcW w:w="2453" w:type="pct"/>
        </w:tcPr>
        <w:p w:rsidR="00EC379B" w:rsidRDefault="006C2E02" w:rsidP="006D504F">
          <w:pPr>
            <w:pStyle w:val="Footer"/>
            <w:rPr>
              <w:rStyle w:val="PageNumber"/>
            </w:rPr>
          </w:pPr>
        </w:p>
        <w:p w:rsidR="00EC379B" w:rsidRDefault="006C2E02" w:rsidP="009C1E9A">
          <w:pPr>
            <w:pStyle w:val="Footer"/>
            <w:tabs>
              <w:tab w:val="clear" w:pos="8640"/>
              <w:tab w:val="right" w:pos="9360"/>
            </w:tabs>
            <w:jc w:val="right"/>
          </w:pPr>
        </w:p>
      </w:tc>
    </w:tr>
    <w:tr w:rsidR="00DF57C8" w:rsidTr="009C1E9A">
      <w:trPr>
        <w:cantSplit/>
        <w:trHeight w:val="323"/>
      </w:trPr>
      <w:tc>
        <w:tcPr>
          <w:tcW w:w="0" w:type="pct"/>
          <w:gridSpan w:val="3"/>
        </w:tcPr>
        <w:p w:rsidR="00EC379B" w:rsidRDefault="006C2E0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C2E02" w:rsidP="009C1E9A">
          <w:pPr>
            <w:pStyle w:val="Footer"/>
            <w:tabs>
              <w:tab w:val="clear" w:pos="8640"/>
              <w:tab w:val="right" w:pos="9360"/>
            </w:tabs>
            <w:jc w:val="center"/>
          </w:pPr>
        </w:p>
      </w:tc>
    </w:tr>
  </w:tbl>
  <w:p w:rsidR="00EC379B" w:rsidRPr="00FF6F72" w:rsidRDefault="006C2E0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2E02">
      <w:r>
        <w:separator/>
      </w:r>
    </w:p>
  </w:footnote>
  <w:footnote w:type="continuationSeparator" w:id="0">
    <w:p w:rsidR="00000000" w:rsidRDefault="006C2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C8"/>
    <w:rsid w:val="006C2E02"/>
    <w:rsid w:val="00D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36AF7"/>
    <w:rPr>
      <w:sz w:val="16"/>
      <w:szCs w:val="16"/>
    </w:rPr>
  </w:style>
  <w:style w:type="paragraph" w:styleId="CommentText">
    <w:name w:val="annotation text"/>
    <w:basedOn w:val="Normal"/>
    <w:link w:val="CommentTextChar"/>
    <w:rsid w:val="00936AF7"/>
    <w:rPr>
      <w:sz w:val="20"/>
      <w:szCs w:val="20"/>
    </w:rPr>
  </w:style>
  <w:style w:type="character" w:customStyle="1" w:styleId="CommentTextChar">
    <w:name w:val="Comment Text Char"/>
    <w:basedOn w:val="DefaultParagraphFont"/>
    <w:link w:val="CommentText"/>
    <w:rsid w:val="00936AF7"/>
  </w:style>
  <w:style w:type="paragraph" w:styleId="CommentSubject">
    <w:name w:val="annotation subject"/>
    <w:basedOn w:val="CommentText"/>
    <w:next w:val="CommentText"/>
    <w:link w:val="CommentSubjectChar"/>
    <w:rsid w:val="00936AF7"/>
    <w:rPr>
      <w:b/>
      <w:bCs/>
    </w:rPr>
  </w:style>
  <w:style w:type="character" w:customStyle="1" w:styleId="CommentSubjectChar">
    <w:name w:val="Comment Subject Char"/>
    <w:basedOn w:val="CommentTextChar"/>
    <w:link w:val="CommentSubject"/>
    <w:rsid w:val="00936A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36AF7"/>
    <w:rPr>
      <w:sz w:val="16"/>
      <w:szCs w:val="16"/>
    </w:rPr>
  </w:style>
  <w:style w:type="paragraph" w:styleId="CommentText">
    <w:name w:val="annotation text"/>
    <w:basedOn w:val="Normal"/>
    <w:link w:val="CommentTextChar"/>
    <w:rsid w:val="00936AF7"/>
    <w:rPr>
      <w:sz w:val="20"/>
      <w:szCs w:val="20"/>
    </w:rPr>
  </w:style>
  <w:style w:type="character" w:customStyle="1" w:styleId="CommentTextChar">
    <w:name w:val="Comment Text Char"/>
    <w:basedOn w:val="DefaultParagraphFont"/>
    <w:link w:val="CommentText"/>
    <w:rsid w:val="00936AF7"/>
  </w:style>
  <w:style w:type="paragraph" w:styleId="CommentSubject">
    <w:name w:val="annotation subject"/>
    <w:basedOn w:val="CommentText"/>
    <w:next w:val="CommentText"/>
    <w:link w:val="CommentSubjectChar"/>
    <w:rsid w:val="00936AF7"/>
    <w:rPr>
      <w:b/>
      <w:bCs/>
    </w:rPr>
  </w:style>
  <w:style w:type="character" w:customStyle="1" w:styleId="CommentSubjectChar">
    <w:name w:val="Comment Subject Char"/>
    <w:basedOn w:val="CommentTextChar"/>
    <w:link w:val="CommentSubject"/>
    <w:rsid w:val="00936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1695</Characters>
  <Application>Microsoft Office Word</Application>
  <DocSecurity>4</DocSecurity>
  <Lines>48</Lines>
  <Paragraphs>15</Paragraphs>
  <ScaleCrop>false</ScaleCrop>
  <HeadingPairs>
    <vt:vector size="2" baseType="variant">
      <vt:variant>
        <vt:lpstr>Title</vt:lpstr>
      </vt:variant>
      <vt:variant>
        <vt:i4>1</vt:i4>
      </vt:variant>
    </vt:vector>
  </HeadingPairs>
  <TitlesOfParts>
    <vt:vector size="1" baseType="lpstr">
      <vt:lpstr>BA - SB01514 (Committee Report (Unamended))</vt:lpstr>
    </vt:vector>
  </TitlesOfParts>
  <Company>State of Texas</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31732</dc:subject>
  <dc:creator>State of Texas</dc:creator>
  <dc:description>SB 1514 by Estes-(H)Ways &amp; Means</dc:description>
  <cp:lastModifiedBy>Molly Hoffman-Bricker</cp:lastModifiedBy>
  <cp:revision>2</cp:revision>
  <cp:lastPrinted>2017-05-17T20:31:00Z</cp:lastPrinted>
  <dcterms:created xsi:type="dcterms:W3CDTF">2017-05-19T22:36:00Z</dcterms:created>
  <dcterms:modified xsi:type="dcterms:W3CDTF">2017-05-19T22:36:00Z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17.137.503</vt:lpwstr>
  </property>
</Properties>
</file>