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A66B5" w:rsidTr="00345119">
        <w:tc>
          <w:tcPr>
            <w:tcW w:w="9576" w:type="dxa"/>
            <w:noWrap/>
          </w:tcPr>
          <w:p w:rsidR="008423E4" w:rsidRPr="0022177D" w:rsidRDefault="00BD41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412C" w:rsidP="008423E4">
      <w:pPr>
        <w:jc w:val="center"/>
      </w:pPr>
    </w:p>
    <w:p w:rsidR="008423E4" w:rsidRPr="00B31F0E" w:rsidRDefault="00BD412C" w:rsidP="008423E4"/>
    <w:p w:rsidR="008423E4" w:rsidRPr="00742794" w:rsidRDefault="00BD41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66B5" w:rsidTr="00345119">
        <w:tc>
          <w:tcPr>
            <w:tcW w:w="9576" w:type="dxa"/>
          </w:tcPr>
          <w:p w:rsidR="008423E4" w:rsidRPr="00861995" w:rsidRDefault="00BD412C" w:rsidP="00345119">
            <w:pPr>
              <w:jc w:val="right"/>
            </w:pPr>
            <w:r>
              <w:t>S.B. 1548</w:t>
            </w:r>
          </w:p>
        </w:tc>
      </w:tr>
      <w:tr w:rsidR="005A66B5" w:rsidTr="00345119">
        <w:tc>
          <w:tcPr>
            <w:tcW w:w="9576" w:type="dxa"/>
          </w:tcPr>
          <w:p w:rsidR="008423E4" w:rsidRPr="00861995" w:rsidRDefault="00BD412C" w:rsidP="001B00A4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5A66B5" w:rsidTr="00345119">
        <w:tc>
          <w:tcPr>
            <w:tcW w:w="9576" w:type="dxa"/>
          </w:tcPr>
          <w:p w:rsidR="008423E4" w:rsidRPr="00861995" w:rsidRDefault="00BD412C" w:rsidP="00345119">
            <w:pPr>
              <w:jc w:val="right"/>
            </w:pPr>
            <w:r>
              <w:t>Juvenile Justice &amp; Family Issues</w:t>
            </w:r>
          </w:p>
        </w:tc>
      </w:tr>
      <w:tr w:rsidR="005A66B5" w:rsidTr="00345119">
        <w:tc>
          <w:tcPr>
            <w:tcW w:w="9576" w:type="dxa"/>
          </w:tcPr>
          <w:p w:rsidR="008423E4" w:rsidRDefault="00BD41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412C" w:rsidP="008423E4">
      <w:pPr>
        <w:tabs>
          <w:tab w:val="right" w:pos="9360"/>
        </w:tabs>
      </w:pPr>
    </w:p>
    <w:p w:rsidR="008423E4" w:rsidRDefault="00BD412C" w:rsidP="008423E4"/>
    <w:p w:rsidR="008423E4" w:rsidRDefault="00BD41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A66B5" w:rsidTr="008A2AA2">
        <w:tc>
          <w:tcPr>
            <w:tcW w:w="9582" w:type="dxa"/>
          </w:tcPr>
          <w:p w:rsidR="008423E4" w:rsidRPr="00A8133F" w:rsidRDefault="00BD412C" w:rsidP="00E91B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412C" w:rsidP="00E91B48"/>
          <w:p w:rsidR="008423E4" w:rsidRDefault="00BD412C" w:rsidP="00E91B48">
            <w:pPr>
              <w:pStyle w:val="Header"/>
              <w:jc w:val="both"/>
            </w:pPr>
            <w:r>
              <w:t>Interested parties contend that it would be in the general public's best interest to permit a</w:t>
            </w:r>
            <w:r>
              <w:t xml:space="preserve"> child </w:t>
            </w:r>
            <w:r>
              <w:t xml:space="preserve">who is discharged from probation to </w:t>
            </w:r>
            <w:r>
              <w:t xml:space="preserve">complete services </w:t>
            </w:r>
            <w:r>
              <w:t>the child began to receive</w:t>
            </w:r>
            <w:r>
              <w:t xml:space="preserve"> </w:t>
            </w:r>
            <w:r>
              <w:t>before discharge</w:t>
            </w:r>
            <w:r>
              <w:t xml:space="preserve"> relating to vocational, educational, </w:t>
            </w:r>
            <w:r>
              <w:t xml:space="preserve">behavioral, </w:t>
            </w:r>
            <w:r>
              <w:t>or other goals</w:t>
            </w:r>
            <w:r>
              <w:t xml:space="preserve">. </w:t>
            </w:r>
            <w:r>
              <w:t>S.B. 1548</w:t>
            </w:r>
            <w:r>
              <w:t xml:space="preserve"> </w:t>
            </w:r>
            <w:r>
              <w:t xml:space="preserve">seeks to provide for </w:t>
            </w:r>
            <w:r>
              <w:t xml:space="preserve">the continuation of such services to a </w:t>
            </w:r>
            <w:r>
              <w:t>child discharged from p</w:t>
            </w:r>
            <w:r>
              <w:t xml:space="preserve">robation </w:t>
            </w:r>
            <w:r>
              <w:t xml:space="preserve">up to six months </w:t>
            </w:r>
            <w:r>
              <w:t>following</w:t>
            </w:r>
            <w:r>
              <w:t xml:space="preserve"> discharge.</w:t>
            </w:r>
          </w:p>
          <w:p w:rsidR="008423E4" w:rsidRPr="00E26B13" w:rsidRDefault="00BD412C" w:rsidP="00E91B48">
            <w:pPr>
              <w:rPr>
                <w:b/>
              </w:rPr>
            </w:pPr>
          </w:p>
        </w:tc>
      </w:tr>
      <w:tr w:rsidR="005A66B5" w:rsidTr="008A2AA2">
        <w:tc>
          <w:tcPr>
            <w:tcW w:w="9582" w:type="dxa"/>
          </w:tcPr>
          <w:p w:rsidR="0017725B" w:rsidRDefault="00BD412C" w:rsidP="00E91B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412C" w:rsidP="00E91B48">
            <w:pPr>
              <w:rPr>
                <w:b/>
                <w:u w:val="single"/>
              </w:rPr>
            </w:pPr>
          </w:p>
          <w:p w:rsidR="000A2CE3" w:rsidRPr="000A2CE3" w:rsidRDefault="00BD412C" w:rsidP="00E91B4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BD412C" w:rsidP="00E91B48">
            <w:pPr>
              <w:rPr>
                <w:b/>
                <w:u w:val="single"/>
              </w:rPr>
            </w:pPr>
          </w:p>
        </w:tc>
      </w:tr>
      <w:tr w:rsidR="005A66B5" w:rsidTr="008A2AA2">
        <w:tc>
          <w:tcPr>
            <w:tcW w:w="9582" w:type="dxa"/>
          </w:tcPr>
          <w:p w:rsidR="008423E4" w:rsidRPr="00A8133F" w:rsidRDefault="00BD412C" w:rsidP="00E91B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412C" w:rsidP="00E91B48"/>
          <w:p w:rsidR="000A2CE3" w:rsidRDefault="00BD412C" w:rsidP="00E91B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BD412C" w:rsidP="00E91B48">
            <w:pPr>
              <w:rPr>
                <w:b/>
              </w:rPr>
            </w:pPr>
          </w:p>
        </w:tc>
      </w:tr>
      <w:tr w:rsidR="005A66B5" w:rsidTr="008A2AA2">
        <w:tc>
          <w:tcPr>
            <w:tcW w:w="9582" w:type="dxa"/>
          </w:tcPr>
          <w:p w:rsidR="008423E4" w:rsidRPr="00A8133F" w:rsidRDefault="00BD412C" w:rsidP="00E91B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412C" w:rsidP="00E91B48"/>
          <w:p w:rsidR="008423E4" w:rsidRDefault="00BD412C" w:rsidP="00E91B48">
            <w:pPr>
              <w:pStyle w:val="Header"/>
              <w:jc w:val="both"/>
            </w:pPr>
            <w:r>
              <w:t>S.B. 1548</w:t>
            </w:r>
            <w:r>
              <w:t xml:space="preserve"> amends the Human Resources Code to authorize a juvenile board or juvenile probation department, provided that existing resources are available, to provide post-discharge services </w:t>
            </w:r>
            <w:r w:rsidRPr="000A2CE3">
              <w:t>to a child for not more than s</w:t>
            </w:r>
            <w:r w:rsidRPr="000A2CE3">
              <w:t>ix months after the date the child is discharged from probation, regardless of the age of the child on that date.</w:t>
            </w:r>
            <w:r>
              <w:t xml:space="preserve"> The bill prohibits a juvenile board or juvenile probation department from requiring a child to participate in post-discharge services. The bil</w:t>
            </w:r>
            <w:r>
              <w:t>l defines "post-discharge services" as community-based services offered after a child is discharged from probation to support the child's vocational, educational, behavioral, or other goals and to provide continuity for the child as the child transitions o</w:t>
            </w:r>
            <w:r>
              <w:t>ut of juvenile probation services</w:t>
            </w:r>
            <w:r>
              <w:t xml:space="preserve"> and specifies that the term</w:t>
            </w:r>
            <w:r>
              <w:t xml:space="preserve"> includ</w:t>
            </w:r>
            <w:r>
              <w:t>es</w:t>
            </w:r>
            <w:r>
              <w:t xml:space="preserve"> behavioral health services, mental health services, substance abuse services, mentoring, job training, and educational services</w:t>
            </w:r>
            <w:r>
              <w:t>.</w:t>
            </w:r>
          </w:p>
          <w:p w:rsidR="008423E4" w:rsidRPr="00835628" w:rsidRDefault="00BD412C" w:rsidP="00E91B48">
            <w:pPr>
              <w:rPr>
                <w:b/>
              </w:rPr>
            </w:pPr>
          </w:p>
        </w:tc>
      </w:tr>
      <w:tr w:rsidR="005A66B5" w:rsidTr="008A2AA2">
        <w:tc>
          <w:tcPr>
            <w:tcW w:w="9582" w:type="dxa"/>
          </w:tcPr>
          <w:p w:rsidR="008423E4" w:rsidRPr="00A8133F" w:rsidRDefault="00BD412C" w:rsidP="00E91B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412C" w:rsidP="00E91B48"/>
          <w:p w:rsidR="008423E4" w:rsidRPr="003624F2" w:rsidRDefault="00BD412C" w:rsidP="00E91B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D412C" w:rsidP="00E91B48">
            <w:pPr>
              <w:rPr>
                <w:b/>
              </w:rPr>
            </w:pPr>
          </w:p>
        </w:tc>
      </w:tr>
      <w:tr w:rsidR="005A66B5" w:rsidTr="008A2AA2">
        <w:tc>
          <w:tcPr>
            <w:tcW w:w="9582" w:type="dxa"/>
          </w:tcPr>
          <w:p w:rsidR="00CF10B8" w:rsidRPr="00F62A14" w:rsidRDefault="00BD412C" w:rsidP="00E91B48">
            <w:pPr>
              <w:jc w:val="both"/>
            </w:pPr>
          </w:p>
        </w:tc>
      </w:tr>
      <w:tr w:rsidR="005A66B5" w:rsidTr="008A2AA2">
        <w:tc>
          <w:tcPr>
            <w:tcW w:w="9582" w:type="dxa"/>
          </w:tcPr>
          <w:p w:rsidR="008A2AA2" w:rsidRDefault="00BD412C" w:rsidP="00E91B48"/>
          <w:p w:rsidR="008A2AA2" w:rsidRPr="009C1E9A" w:rsidRDefault="00BD412C" w:rsidP="00E91B48">
            <w:pPr>
              <w:rPr>
                <w:b/>
                <w:u w:val="single"/>
              </w:rPr>
            </w:pPr>
          </w:p>
        </w:tc>
      </w:tr>
    </w:tbl>
    <w:p w:rsidR="008423E4" w:rsidRPr="00BE0E75" w:rsidRDefault="00BD41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412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412C">
      <w:r>
        <w:separator/>
      </w:r>
    </w:p>
  </w:endnote>
  <w:endnote w:type="continuationSeparator" w:id="0">
    <w:p w:rsidR="00000000" w:rsidRDefault="00B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66B5" w:rsidTr="009C1E9A">
      <w:trPr>
        <w:cantSplit/>
      </w:trPr>
      <w:tc>
        <w:tcPr>
          <w:tcW w:w="0" w:type="pct"/>
        </w:tcPr>
        <w:p w:rsidR="00137D90" w:rsidRDefault="00BD41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BD41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41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41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66B5" w:rsidTr="009C1E9A">
      <w:trPr>
        <w:cantSplit/>
      </w:trPr>
      <w:tc>
        <w:tcPr>
          <w:tcW w:w="0" w:type="pct"/>
        </w:tcPr>
        <w:p w:rsidR="00EC379B" w:rsidRDefault="00BD41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41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30454</w:t>
          </w:r>
        </w:p>
      </w:tc>
      <w:tc>
        <w:tcPr>
          <w:tcW w:w="2453" w:type="pct"/>
        </w:tcPr>
        <w:p w:rsidR="00EC379B" w:rsidRDefault="00BD41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17.131.669</w:t>
          </w:r>
          <w:r>
            <w:fldChar w:fldCharType="end"/>
          </w:r>
        </w:p>
      </w:tc>
    </w:tr>
    <w:tr w:rsidR="005A66B5" w:rsidTr="009C1E9A">
      <w:trPr>
        <w:cantSplit/>
      </w:trPr>
      <w:tc>
        <w:tcPr>
          <w:tcW w:w="0" w:type="pct"/>
        </w:tcPr>
        <w:p w:rsidR="00EC379B" w:rsidRDefault="00BD41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41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412C" w:rsidP="006D504F">
          <w:pPr>
            <w:pStyle w:val="Footer"/>
            <w:rPr>
              <w:rStyle w:val="PageNumber"/>
            </w:rPr>
          </w:pPr>
        </w:p>
        <w:p w:rsidR="00EC379B" w:rsidRDefault="00BD41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66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41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41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41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412C">
      <w:r>
        <w:separator/>
      </w:r>
    </w:p>
  </w:footnote>
  <w:footnote w:type="continuationSeparator" w:id="0">
    <w:p w:rsidR="00000000" w:rsidRDefault="00BD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5"/>
    <w:rsid w:val="005A66B5"/>
    <w:rsid w:val="00B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A2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CE3"/>
  </w:style>
  <w:style w:type="paragraph" w:styleId="CommentSubject">
    <w:name w:val="annotation subject"/>
    <w:basedOn w:val="CommentText"/>
    <w:next w:val="CommentText"/>
    <w:link w:val="CommentSubjectChar"/>
    <w:rsid w:val="000A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A2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CE3"/>
  </w:style>
  <w:style w:type="paragraph" w:styleId="CommentSubject">
    <w:name w:val="annotation subject"/>
    <w:basedOn w:val="CommentText"/>
    <w:next w:val="CommentText"/>
    <w:link w:val="CommentSubjectChar"/>
    <w:rsid w:val="000A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1686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HB03538 (Committee Report (Substituted))</vt:lpstr>
    </vt:vector>
  </TitlesOfParts>
  <Company>State of Texas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30454</dc:subject>
  <dc:creator>State of Texas</dc:creator>
  <dc:description>SB 1548 by Menéndez-(H)Juvenile Justice &amp; Family Issues</dc:description>
  <cp:lastModifiedBy>Brianna Weis</cp:lastModifiedBy>
  <cp:revision>2</cp:revision>
  <cp:lastPrinted>2017-05-03T17:26:00Z</cp:lastPrinted>
  <dcterms:created xsi:type="dcterms:W3CDTF">2017-05-12T00:37:00Z</dcterms:created>
  <dcterms:modified xsi:type="dcterms:W3CDTF">2017-05-12T00:37:00Z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17.131.669</vt:lpwstr>
  </property>
</Properties>
</file>