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57D3" w:rsidTr="00345119">
        <w:tc>
          <w:tcPr>
            <w:tcW w:w="9576" w:type="dxa"/>
            <w:noWrap/>
          </w:tcPr>
          <w:p w:rsidR="008423E4" w:rsidRPr="0022177D" w:rsidRDefault="00682B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2B2E" w:rsidP="008423E4">
      <w:pPr>
        <w:jc w:val="center"/>
      </w:pPr>
    </w:p>
    <w:p w:rsidR="008423E4" w:rsidRPr="00B31F0E" w:rsidRDefault="00682B2E" w:rsidP="008423E4"/>
    <w:p w:rsidR="008423E4" w:rsidRPr="00742794" w:rsidRDefault="00682B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57D3" w:rsidTr="00345119">
        <w:tc>
          <w:tcPr>
            <w:tcW w:w="9576" w:type="dxa"/>
          </w:tcPr>
          <w:p w:rsidR="008423E4" w:rsidRPr="00861995" w:rsidRDefault="00682B2E" w:rsidP="00345119">
            <w:pPr>
              <w:jc w:val="right"/>
            </w:pPr>
            <w:r>
              <w:t>C.S.S.B. 1630</w:t>
            </w:r>
          </w:p>
        </w:tc>
      </w:tr>
      <w:tr w:rsidR="008557D3" w:rsidTr="00345119">
        <w:tc>
          <w:tcPr>
            <w:tcW w:w="9576" w:type="dxa"/>
          </w:tcPr>
          <w:p w:rsidR="008423E4" w:rsidRPr="00861995" w:rsidRDefault="00682B2E" w:rsidP="003A780F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8557D3" w:rsidTr="00345119">
        <w:tc>
          <w:tcPr>
            <w:tcW w:w="9576" w:type="dxa"/>
          </w:tcPr>
          <w:p w:rsidR="008423E4" w:rsidRPr="00861995" w:rsidRDefault="00682B2E" w:rsidP="00345119">
            <w:pPr>
              <w:jc w:val="right"/>
            </w:pPr>
            <w:r>
              <w:t>Culture, Recreation &amp; Tourism</w:t>
            </w:r>
          </w:p>
        </w:tc>
      </w:tr>
      <w:tr w:rsidR="008557D3" w:rsidTr="00345119">
        <w:tc>
          <w:tcPr>
            <w:tcW w:w="9576" w:type="dxa"/>
          </w:tcPr>
          <w:p w:rsidR="008423E4" w:rsidRDefault="00682B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82B2E" w:rsidP="008423E4">
      <w:pPr>
        <w:tabs>
          <w:tab w:val="right" w:pos="9360"/>
        </w:tabs>
      </w:pPr>
    </w:p>
    <w:p w:rsidR="008423E4" w:rsidRDefault="00682B2E" w:rsidP="008423E4"/>
    <w:p w:rsidR="008423E4" w:rsidRDefault="00682B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8557D3" w:rsidTr="003A780F">
        <w:tc>
          <w:tcPr>
            <w:tcW w:w="9588" w:type="dxa"/>
          </w:tcPr>
          <w:p w:rsidR="008423E4" w:rsidRPr="00A8133F" w:rsidRDefault="00682B2E" w:rsidP="009651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2B2E" w:rsidP="0096510D"/>
          <w:p w:rsidR="008423E4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definitions and procedures </w:t>
            </w:r>
            <w:r>
              <w:t xml:space="preserve">regarding cemeteries unnecessarily </w:t>
            </w:r>
            <w:r>
              <w:t xml:space="preserve">intrude on private property rights. </w:t>
            </w:r>
            <w:r w:rsidRPr="00040436">
              <w:t>C.S.S.B. 1630</w:t>
            </w:r>
            <w:r>
              <w:t xml:space="preserve"> seeks to </w:t>
            </w:r>
            <w:r>
              <w:t>reform the law regarding cemeteri</w:t>
            </w:r>
            <w:r>
              <w:t>e</w:t>
            </w:r>
            <w:r>
              <w:t>s</w:t>
            </w:r>
            <w:r>
              <w:t xml:space="preserve">. </w:t>
            </w:r>
          </w:p>
          <w:p w:rsidR="008423E4" w:rsidRPr="00E26B13" w:rsidRDefault="00682B2E" w:rsidP="0096510D">
            <w:pPr>
              <w:rPr>
                <w:b/>
              </w:rPr>
            </w:pPr>
          </w:p>
        </w:tc>
      </w:tr>
      <w:tr w:rsidR="008557D3" w:rsidTr="003A780F">
        <w:tc>
          <w:tcPr>
            <w:tcW w:w="9588" w:type="dxa"/>
          </w:tcPr>
          <w:p w:rsidR="0017725B" w:rsidRDefault="00682B2E" w:rsidP="0096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2B2E" w:rsidP="0096510D">
            <w:pPr>
              <w:rPr>
                <w:b/>
                <w:u w:val="single"/>
              </w:rPr>
            </w:pPr>
          </w:p>
          <w:p w:rsidR="00DC3356" w:rsidRPr="00DC3356" w:rsidRDefault="00682B2E" w:rsidP="0096510D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682B2E" w:rsidP="0096510D">
            <w:pPr>
              <w:rPr>
                <w:b/>
                <w:u w:val="single"/>
              </w:rPr>
            </w:pPr>
          </w:p>
        </w:tc>
      </w:tr>
      <w:tr w:rsidR="008557D3" w:rsidTr="003A780F">
        <w:tc>
          <w:tcPr>
            <w:tcW w:w="9588" w:type="dxa"/>
          </w:tcPr>
          <w:p w:rsidR="008423E4" w:rsidRPr="00A8133F" w:rsidRDefault="00682B2E" w:rsidP="009651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2B2E" w:rsidP="0096510D"/>
          <w:p w:rsidR="00DC3356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:rsidR="008423E4" w:rsidRPr="00E21FDC" w:rsidRDefault="00682B2E" w:rsidP="0096510D">
            <w:pPr>
              <w:rPr>
                <w:b/>
              </w:rPr>
            </w:pPr>
          </w:p>
        </w:tc>
      </w:tr>
      <w:tr w:rsidR="008557D3" w:rsidTr="003A780F">
        <w:tc>
          <w:tcPr>
            <w:tcW w:w="9588" w:type="dxa"/>
          </w:tcPr>
          <w:p w:rsidR="008423E4" w:rsidRPr="00A8133F" w:rsidRDefault="00682B2E" w:rsidP="009651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2B2E" w:rsidP="0096510D"/>
          <w:p w:rsidR="00783D48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40436">
              <w:t>C.S.S.B. 1630</w:t>
            </w:r>
            <w:r>
              <w:t xml:space="preserve"> amends the </w:t>
            </w:r>
            <w:r w:rsidRPr="00D25560">
              <w:t>Health and Safety Code</w:t>
            </w:r>
            <w:r>
              <w:t xml:space="preserve"> to </w:t>
            </w:r>
            <w:r>
              <w:t xml:space="preserve">authorize </w:t>
            </w:r>
            <w:r w:rsidRPr="00774987">
              <w:t>a justice of the peace acting as coroner</w:t>
            </w:r>
            <w:r>
              <w:t xml:space="preserve"> or</w:t>
            </w:r>
            <w:r>
              <w:t xml:space="preserve"> </w:t>
            </w:r>
            <w:r w:rsidRPr="00774987">
              <w:t>medical examiner</w:t>
            </w:r>
            <w:r>
              <w:t>,</w:t>
            </w:r>
            <w:r w:rsidRPr="00774987">
              <w:t xml:space="preserve"> </w:t>
            </w:r>
            <w:r>
              <w:t>or a</w:t>
            </w:r>
            <w:r>
              <w:t>nother</w:t>
            </w:r>
            <w:r>
              <w:t xml:space="preserve"> person</w:t>
            </w:r>
            <w:r>
              <w:t xml:space="preserve"> authorized to supervise the </w:t>
            </w:r>
            <w:r>
              <w:t>removal of remains</w:t>
            </w:r>
            <w:r>
              <w:t>,</w:t>
            </w:r>
            <w:r>
              <w:t xml:space="preserve"> </w:t>
            </w:r>
            <w:r>
              <w:t>to</w:t>
            </w:r>
            <w:r w:rsidRPr="00774987">
              <w:t xml:space="preserve"> investigate or remove remains </w:t>
            </w:r>
            <w:r>
              <w:t>in an unmarked grave</w:t>
            </w:r>
            <w:r w:rsidRPr="00BE11D9">
              <w:t xml:space="preserve"> contained within an abandoned, </w:t>
            </w:r>
            <w:r>
              <w:t>unknown, or unverified cemetery</w:t>
            </w:r>
            <w:r w:rsidRPr="00774987">
              <w:t xml:space="preserve"> </w:t>
            </w:r>
            <w:r w:rsidRPr="00774987">
              <w:t>without written order of the state registrar or the state registrar's designee.</w:t>
            </w:r>
            <w:r>
              <w:t xml:space="preserve"> </w:t>
            </w:r>
            <w:r>
              <w:t>The bill defines, among other terms, "a</w:t>
            </w:r>
            <w:r w:rsidRPr="00D25560">
              <w:t>bandoned cemetery</w:t>
            </w:r>
            <w:r>
              <w:t xml:space="preserve">" as </w:t>
            </w:r>
            <w:r w:rsidRPr="00783D48">
              <w:t>a cemetery, regardless of whether it appears on a map or in deed records, that is not owned or operated by a cemetery organization, does not have another person legally responsible for its care, and is not maintained by any person</w:t>
            </w:r>
            <w:r>
              <w:t>;</w:t>
            </w:r>
            <w:r w:rsidRPr="00783D48">
              <w:t xml:space="preserve"> </w:t>
            </w:r>
            <w:r>
              <w:t>"u</w:t>
            </w:r>
            <w:r>
              <w:t xml:space="preserve">nknown cemetery" as </w:t>
            </w:r>
            <w:r w:rsidRPr="00783D48">
              <w:t>an abandoned cemetery evidenced by the presence of marked or unmarked graves that does not appear on a map or in deed records</w:t>
            </w:r>
            <w:r>
              <w:t>; and</w:t>
            </w:r>
            <w:r w:rsidRPr="00783D48">
              <w:t xml:space="preserve"> </w:t>
            </w:r>
            <w:r w:rsidRPr="00C452A5">
              <w:t>"</w:t>
            </w:r>
            <w:r>
              <w:t>u</w:t>
            </w:r>
            <w:r w:rsidRPr="00C452A5">
              <w:t>nverified cemetery"</w:t>
            </w:r>
            <w:r>
              <w:t xml:space="preserve"> as </w:t>
            </w:r>
            <w:r w:rsidRPr="00783D48">
              <w:t>a location having some evidence of interment but in which the presence of one or</w:t>
            </w:r>
            <w:r w:rsidRPr="00783D48">
              <w:t xml:space="preserve"> more unmarked graves has not been verified by a person </w:t>
            </w:r>
            <w:r>
              <w:t>authorized to supervise the removal of remains</w:t>
            </w:r>
            <w:r w:rsidRPr="00783D48">
              <w:t xml:space="preserve"> or by the Texas Historical Commission</w:t>
            </w:r>
            <w:r>
              <w:t>.</w:t>
            </w:r>
            <w:r w:rsidRPr="00783D48">
              <w:t xml:space="preserve"> </w:t>
            </w:r>
          </w:p>
          <w:p w:rsidR="00783D48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4367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40436">
              <w:t>C.S.S.B. 1630</w:t>
            </w:r>
            <w:r>
              <w:t xml:space="preserve"> </w:t>
            </w:r>
            <w:r>
              <w:t xml:space="preserve">authorizes the </w:t>
            </w:r>
            <w:r>
              <w:t>c</w:t>
            </w:r>
            <w:r w:rsidRPr="003F2485">
              <w:t xml:space="preserve">ommission, with consent of </w:t>
            </w:r>
            <w:r>
              <w:t>a</w:t>
            </w:r>
            <w:r w:rsidRPr="003F2485">
              <w:t xml:space="preserve"> </w:t>
            </w:r>
            <w:r w:rsidRPr="003F2485">
              <w:t xml:space="preserve">landowner, </w:t>
            </w:r>
            <w:r>
              <w:t>to</w:t>
            </w:r>
            <w:r w:rsidRPr="003F2485">
              <w:t xml:space="preserve"> investigate a suspected but unverified cemetery or </w:t>
            </w:r>
            <w:r>
              <w:t>to</w:t>
            </w:r>
            <w:r w:rsidRPr="003F2485">
              <w:t xml:space="preserve"> delegate the investigation to a qualified person</w:t>
            </w:r>
            <w:r>
              <w:t xml:space="preserve"> </w:t>
            </w:r>
            <w:r w:rsidRPr="00A1358D">
              <w:t xml:space="preserve">authorized to supervise </w:t>
            </w:r>
            <w:r>
              <w:t>the</w:t>
            </w:r>
            <w:r w:rsidRPr="00A1358D">
              <w:t xml:space="preserve"> removal of remains</w:t>
            </w:r>
            <w:r>
              <w:t xml:space="preserve">. </w:t>
            </w:r>
            <w:r>
              <w:t xml:space="preserve">The bill </w:t>
            </w:r>
            <w:r>
              <w:t xml:space="preserve">gives </w:t>
            </w:r>
            <w:r w:rsidRPr="00311CA2">
              <w:t>a district court of the county in which an unknown cemetery is discovered or an abandoned</w:t>
            </w:r>
            <w:r w:rsidRPr="00311CA2">
              <w:t xml:space="preserve"> cemetery is located</w:t>
            </w:r>
            <w:r>
              <w:t>, if the court</w:t>
            </w:r>
            <w:r>
              <w:t xml:space="preserve"> orders </w:t>
            </w:r>
            <w:r w:rsidRPr="00311CA2">
              <w:t>the removal of a dedication of a cemetery and all human remains in that cemetery have not previously been removed</w:t>
            </w:r>
            <w:r>
              <w:t>,</w:t>
            </w:r>
            <w:r>
              <w:t xml:space="preserve"> the option of ordering </w:t>
            </w:r>
            <w:r w:rsidRPr="00311CA2">
              <w:t>the removal of the remains from the cemetery to</w:t>
            </w:r>
            <w:r>
              <w:t xml:space="preserve"> </w:t>
            </w:r>
            <w:r w:rsidRPr="00311CA2">
              <w:t>a municipal or county cemete</w:t>
            </w:r>
            <w:r w:rsidRPr="00311CA2">
              <w:t>ry</w:t>
            </w:r>
            <w:r>
              <w:t xml:space="preserve"> as an alternative to ordering </w:t>
            </w:r>
            <w:r>
              <w:t>such removal to a perpetual care cemetery. The bill</w:t>
            </w:r>
            <w:r>
              <w:t xml:space="preserve"> requires</w:t>
            </w:r>
            <w:r>
              <w:t xml:space="preserve"> a person who discovers an unknown or abandoned cemetery </w:t>
            </w:r>
            <w:r>
              <w:t xml:space="preserve">to </w:t>
            </w:r>
            <w:r w:rsidRPr="00B37CF4">
              <w:t>mail</w:t>
            </w:r>
            <w:r>
              <w:t>,</w:t>
            </w:r>
            <w:r w:rsidRPr="00B37CF4">
              <w:t xml:space="preserve"> </w:t>
            </w:r>
            <w:r w:rsidRPr="00B37CF4">
              <w:t xml:space="preserve">concurrently </w:t>
            </w:r>
            <w:r>
              <w:t xml:space="preserve">with filing the required notice with the applicable county </w:t>
            </w:r>
            <w:r>
              <w:t>clerk</w:t>
            </w:r>
            <w:r>
              <w:t xml:space="preserve">, </w:t>
            </w:r>
            <w:r w:rsidRPr="00B37CF4">
              <w:t>notice to the land</w:t>
            </w:r>
            <w:r w:rsidRPr="00B37CF4">
              <w:t>owner on record in the county appraisal district</w:t>
            </w:r>
            <w:r>
              <w:t xml:space="preserve"> and specifies that the required notice is for the discovery of the cemetery</w:t>
            </w:r>
            <w:r>
              <w:t xml:space="preserve">. </w:t>
            </w:r>
          </w:p>
          <w:p w:rsidR="00B04367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95FC7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40436">
              <w:t>C.S.S.B. 1630</w:t>
            </w:r>
            <w:r>
              <w:t xml:space="preserve"> </w:t>
            </w:r>
            <w:r>
              <w:t xml:space="preserve">requires a person who discovers an unverified cemetery to file notice and evidence of the discovery with the </w:t>
            </w:r>
            <w:r>
              <w:t>c</w:t>
            </w:r>
            <w:r>
              <w:t>ommi</w:t>
            </w:r>
            <w:r>
              <w:t xml:space="preserve">ssion on a form provided by the </w:t>
            </w:r>
            <w:r>
              <w:t>c</w:t>
            </w:r>
            <w:r>
              <w:t xml:space="preserve">ommission and to </w:t>
            </w:r>
            <w:r>
              <w:lastRenderedPageBreak/>
              <w:t>concurrently provide a copy of the notice to the landowner on record in the county appraisal district on whose land the unverified cemetery is located. The bill authorize</w:t>
            </w:r>
            <w:r>
              <w:t>s</w:t>
            </w:r>
            <w:r>
              <w:t xml:space="preserve"> such a landowner to send a respons</w:t>
            </w:r>
            <w:r>
              <w:t xml:space="preserve">e or comments to the </w:t>
            </w:r>
            <w:r>
              <w:t>c</w:t>
            </w:r>
            <w:r>
              <w:t xml:space="preserve">ommission concerning the notice not later than the 30th day after the date the notice is filed. </w:t>
            </w:r>
            <w:r>
              <w:t xml:space="preserve">The bill requires the </w:t>
            </w:r>
            <w:r>
              <w:t>c</w:t>
            </w:r>
            <w:r>
              <w:t xml:space="preserve">ommission </w:t>
            </w:r>
            <w:r>
              <w:t>to</w:t>
            </w:r>
            <w:r>
              <w:t xml:space="preserve"> evaluate the notice of the unverified cemetery, the evidence submitted with the notice, and the respon</w:t>
            </w:r>
            <w:r>
              <w:t xml:space="preserve">se of the landowner, if any, and </w:t>
            </w:r>
            <w:r>
              <w:t>to</w:t>
            </w:r>
            <w:r>
              <w:t xml:space="preserve"> determine whether there is sufficient evidence of the existence of a cemetery.</w:t>
            </w:r>
            <w:r>
              <w:t xml:space="preserve"> </w:t>
            </w:r>
            <w:r>
              <w:t>T</w:t>
            </w:r>
            <w:r w:rsidRPr="00F52E19">
              <w:t xml:space="preserve">he bill requires the </w:t>
            </w:r>
            <w:r w:rsidRPr="00F52E19">
              <w:t>c</w:t>
            </w:r>
            <w:r w:rsidRPr="00F52E19">
              <w:t xml:space="preserve">ommission to </w:t>
            </w:r>
            <w:r w:rsidRPr="00F52E19">
              <w:t xml:space="preserve">inform the landowner </w:t>
            </w:r>
            <w:r>
              <w:t xml:space="preserve">if the commission determines sufficient evidence supports the existence of a </w:t>
            </w:r>
            <w:r>
              <w:t>cemetery</w:t>
            </w:r>
            <w:r w:rsidRPr="00F52E19">
              <w:t xml:space="preserve"> </w:t>
            </w:r>
            <w:r w:rsidRPr="00F52E19">
              <w:t xml:space="preserve">and authorizes the commission </w:t>
            </w:r>
            <w:r>
              <w:t xml:space="preserve">under such circumstance </w:t>
            </w:r>
            <w:r w:rsidRPr="00F52E19">
              <w:t xml:space="preserve">to </w:t>
            </w:r>
            <w:r w:rsidRPr="00F52E19">
              <w:t>file notice of the existence of the cemetery</w:t>
            </w:r>
            <w:r w:rsidRPr="00F52E19">
              <w:t xml:space="preserve"> with the applicable county clerk</w:t>
            </w:r>
            <w:r w:rsidRPr="00F52E19">
              <w:t xml:space="preserve">. </w:t>
            </w:r>
            <w:r>
              <w:t>T</w:t>
            </w:r>
            <w:r w:rsidRPr="00E221D9">
              <w:t>he bill requires the commission</w:t>
            </w:r>
            <w:r>
              <w:t>, if it determines sufficient evidence supports a determination that a cemetery</w:t>
            </w:r>
            <w:r>
              <w:t xml:space="preserve"> does not exist,</w:t>
            </w:r>
            <w:r w:rsidRPr="00E221D9">
              <w:t xml:space="preserve"> to notify the landowner on record in the appraisal district of its determination, amend the notice to include the commission's determination, and ensure any </w:t>
            </w:r>
            <w:r w:rsidRPr="00E221D9">
              <w:t xml:space="preserve">applicable </w:t>
            </w:r>
            <w:r w:rsidRPr="00E221D9">
              <w:t>notice filed with a county clerk</w:t>
            </w:r>
            <w:r w:rsidRPr="00E221D9">
              <w:t xml:space="preserve"> i</w:t>
            </w:r>
            <w:r w:rsidRPr="00E221D9">
              <w:t>s corrected.</w:t>
            </w:r>
            <w:r>
              <w:t xml:space="preserve"> </w:t>
            </w:r>
            <w:r>
              <w:t xml:space="preserve">The bill </w:t>
            </w:r>
            <w:r>
              <w:t>excludes an unv</w:t>
            </w:r>
            <w:r>
              <w:t xml:space="preserve">erified cemetery from </w:t>
            </w:r>
            <w:r>
              <w:t xml:space="preserve">the applicability of </w:t>
            </w:r>
            <w:r>
              <w:t>statutory provisions relating to access to a cemetery</w:t>
            </w:r>
            <w:r>
              <w:t xml:space="preserve"> or private burial grounds for which no public ingress or egress is available</w:t>
            </w:r>
            <w:r>
              <w:t>.</w:t>
            </w:r>
            <w:r>
              <w:t xml:space="preserve"> </w:t>
            </w:r>
          </w:p>
          <w:p w:rsidR="008423E4" w:rsidRPr="00835628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774987">
              <w:t xml:space="preserve"> </w:t>
            </w:r>
          </w:p>
        </w:tc>
      </w:tr>
      <w:tr w:rsidR="008557D3" w:rsidTr="003A780F">
        <w:tc>
          <w:tcPr>
            <w:tcW w:w="9588" w:type="dxa"/>
          </w:tcPr>
          <w:p w:rsidR="008423E4" w:rsidRPr="00A8133F" w:rsidRDefault="00682B2E" w:rsidP="0096510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2B2E" w:rsidP="0096510D"/>
          <w:p w:rsidR="001409F3" w:rsidRPr="003624F2" w:rsidRDefault="00682B2E" w:rsidP="00965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82B2E" w:rsidP="0096510D">
            <w:pPr>
              <w:rPr>
                <w:b/>
              </w:rPr>
            </w:pPr>
          </w:p>
        </w:tc>
      </w:tr>
      <w:tr w:rsidR="008557D3" w:rsidTr="003A780F">
        <w:tc>
          <w:tcPr>
            <w:tcW w:w="9588" w:type="dxa"/>
          </w:tcPr>
          <w:p w:rsidR="003A780F" w:rsidRDefault="00682B2E" w:rsidP="0096510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</w:t>
            </w:r>
            <w:r>
              <w:rPr>
                <w:b/>
                <w:u w:val="single"/>
              </w:rPr>
              <w:t>TITUTE</w:t>
            </w:r>
          </w:p>
          <w:p w:rsidR="00040436" w:rsidRDefault="00682B2E" w:rsidP="0096510D">
            <w:pPr>
              <w:jc w:val="both"/>
            </w:pPr>
          </w:p>
          <w:p w:rsidR="00040436" w:rsidRDefault="00682B2E" w:rsidP="0096510D">
            <w:pPr>
              <w:jc w:val="both"/>
            </w:pPr>
            <w:r>
              <w:t>While C.S.S.B. 1630 may differ from the engrossed in minor or nonsubstantive ways, the following comparison is organized and formatted in a manner that indicates the substantial differences between the engrossed and committee substitute versions of</w:t>
            </w:r>
            <w:r>
              <w:t xml:space="preserve"> the bill.</w:t>
            </w:r>
          </w:p>
          <w:p w:rsidR="00040436" w:rsidRPr="00B5455E" w:rsidRDefault="00682B2E" w:rsidP="0096510D">
            <w:pPr>
              <w:jc w:val="both"/>
            </w:pPr>
          </w:p>
        </w:tc>
      </w:tr>
      <w:tr w:rsidR="008557D3" w:rsidTr="003A780F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6"/>
              <w:gridCol w:w="4636"/>
            </w:tblGrid>
            <w:tr w:rsidR="008557D3" w:rsidTr="003A780F">
              <w:trPr>
                <w:cantSplit/>
                <w:tblHeader/>
              </w:trPr>
              <w:tc>
                <w:tcPr>
                  <w:tcW w:w="4716" w:type="dxa"/>
                  <w:tcMar>
                    <w:bottom w:w="188" w:type="dxa"/>
                  </w:tcMar>
                </w:tcPr>
                <w:p w:rsidR="003A780F" w:rsidRDefault="00682B2E" w:rsidP="0096510D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36" w:type="dxa"/>
                  <w:tcMar>
                    <w:bottom w:w="188" w:type="dxa"/>
                  </w:tcMar>
                </w:tcPr>
                <w:p w:rsidR="003A780F" w:rsidRDefault="00682B2E" w:rsidP="0096510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1.  Section 711.001,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 xml:space="preserve">SECTION 1.  </w:t>
                  </w:r>
                  <w:r w:rsidRPr="00307C39">
                    <w:t xml:space="preserve">Substantially the same as </w:t>
                  </w:r>
                  <w:r>
                    <w:t>engrossed</w:t>
                  </w:r>
                  <w:r w:rsidRPr="00307C39">
                    <w:t xml:space="preserve"> version</w:t>
                  </w:r>
                  <w:r>
                    <w:t>.</w:t>
                  </w: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2.  Section 711.004,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2.</w:t>
                  </w:r>
                  <w:r>
                    <w:t xml:space="preserve">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3.  The heading to Section 711.010,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3.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4.  Section 711.010,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4.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5.  The heading to Section 711.011,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5. Same as engrossed version.</w:t>
                  </w: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6.  Section 711.011(a),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6.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 xml:space="preserve">SECTION 7.  Subchapter A, </w:t>
                  </w:r>
                  <w:r>
                    <w:t>Chapter 711,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 xml:space="preserve">SECTION 7.  </w:t>
                  </w:r>
                  <w:r>
                    <w:t>Substantially the same as engrossed</w:t>
                  </w:r>
                  <w:r w:rsidRPr="00BD6DB2">
                    <w:t xml:space="preserve"> version</w:t>
                  </w:r>
                  <w:r>
                    <w:t>.</w:t>
                  </w: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8.  Section 711.041, Health and Safety Code, is amended</w:t>
                  </w:r>
                  <w:r>
                    <w:t>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8.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 w:rsidRPr="00BD6DB2">
                    <w:rPr>
                      <w:highlight w:val="lightGray"/>
                    </w:rPr>
                    <w:t>No equivalent provision.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lastRenderedPageBreak/>
                    <w:t>SECTION 9.  Sectio</w:t>
                  </w:r>
                  <w:r>
                    <w:t xml:space="preserve">n 712.0441(f-1), Health </w:t>
                  </w:r>
                  <w:r>
                    <w:lastRenderedPageBreak/>
                    <w:t>and Safety Code, is amended to read as follows:</w:t>
                  </w:r>
                </w:p>
                <w:p w:rsidR="003A780F" w:rsidRDefault="00682B2E" w:rsidP="0096510D">
                  <w:pPr>
                    <w:jc w:val="both"/>
                  </w:pPr>
                  <w:r>
                    <w:t xml:space="preserve">(f-1)  The commissioner may issue an order requiring restitution by a person if, after notice and opportunity for a hearing held in accordance with the procedures for a contested case </w:t>
                  </w:r>
                  <w:r>
                    <w:t xml:space="preserve">hearing under Chapter 2001, Government Code, the commissioner finds that the corporation has not ordered memorials, as defined by Section </w:t>
                  </w:r>
                  <w:r>
                    <w:rPr>
                      <w:u w:val="single"/>
                    </w:rPr>
                    <w:t>711.001</w:t>
                  </w:r>
                  <w:r>
                    <w:t xml:space="preserve"> [</w:t>
                  </w:r>
                  <w:r>
                    <w:rPr>
                      <w:strike/>
                    </w:rPr>
                    <w:t>711.001(20-a)</w:t>
                  </w:r>
                  <w:r>
                    <w:t>], in compliance with the deadlines established by rules adopted under this chapter.</w:t>
                  </w:r>
                </w:p>
              </w:tc>
            </w:tr>
            <w:tr w:rsidR="008557D3" w:rsidTr="003A780F">
              <w:tc>
                <w:tcPr>
                  <w:tcW w:w="4716" w:type="dxa"/>
                  <w:tcMar>
                    <w:righ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lastRenderedPageBreak/>
                    <w:t>SECTION 9.</w:t>
                  </w:r>
                  <w:r>
                    <w:t xml:space="preserve">  This Act takes effect September 1, 2017.</w:t>
                  </w:r>
                </w:p>
              </w:tc>
              <w:tc>
                <w:tcPr>
                  <w:tcW w:w="4636" w:type="dxa"/>
                  <w:tcMar>
                    <w:left w:w="360" w:type="dxa"/>
                  </w:tcMar>
                </w:tcPr>
                <w:p w:rsidR="003A780F" w:rsidRDefault="00682B2E" w:rsidP="0096510D">
                  <w:pPr>
                    <w:jc w:val="both"/>
                  </w:pPr>
                  <w:r>
                    <w:t>SECTION 10. Same as engrossed version.</w:t>
                  </w:r>
                </w:p>
                <w:p w:rsidR="003A780F" w:rsidRDefault="00682B2E" w:rsidP="0096510D">
                  <w:pPr>
                    <w:jc w:val="both"/>
                  </w:pPr>
                </w:p>
              </w:tc>
            </w:tr>
          </w:tbl>
          <w:p w:rsidR="003A780F" w:rsidRDefault="00682B2E" w:rsidP="0096510D"/>
          <w:p w:rsidR="00E03FDA" w:rsidRPr="009C1E9A" w:rsidRDefault="00682B2E" w:rsidP="0096510D">
            <w:pPr>
              <w:rPr>
                <w:b/>
                <w:u w:val="single"/>
              </w:rPr>
            </w:pPr>
          </w:p>
        </w:tc>
      </w:tr>
      <w:tr w:rsidR="008557D3" w:rsidTr="003A780F">
        <w:tc>
          <w:tcPr>
            <w:tcW w:w="9588" w:type="dxa"/>
          </w:tcPr>
          <w:p w:rsidR="003A780F" w:rsidRDefault="00682B2E" w:rsidP="0096510D">
            <w:pPr>
              <w:jc w:val="center"/>
            </w:pPr>
          </w:p>
        </w:tc>
      </w:tr>
      <w:tr w:rsidR="008557D3" w:rsidTr="003A780F">
        <w:tc>
          <w:tcPr>
            <w:tcW w:w="9588" w:type="dxa"/>
          </w:tcPr>
          <w:p w:rsidR="003A780F" w:rsidRDefault="00682B2E" w:rsidP="0096510D">
            <w:pPr>
              <w:jc w:val="center"/>
            </w:pPr>
          </w:p>
        </w:tc>
      </w:tr>
    </w:tbl>
    <w:p w:rsidR="008423E4" w:rsidRPr="00BE0E75" w:rsidRDefault="00682B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2B2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B2E">
      <w:r>
        <w:separator/>
      </w:r>
    </w:p>
  </w:endnote>
  <w:endnote w:type="continuationSeparator" w:id="0">
    <w:p w:rsidR="00000000" w:rsidRDefault="0068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E0" w:rsidRDefault="00682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57D3" w:rsidTr="009C1E9A">
      <w:trPr>
        <w:cantSplit/>
      </w:trPr>
      <w:tc>
        <w:tcPr>
          <w:tcW w:w="0" w:type="pct"/>
        </w:tcPr>
        <w:p w:rsidR="00137D90" w:rsidRDefault="00682B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2B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2B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2B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2B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7D3" w:rsidTr="009C1E9A">
      <w:trPr>
        <w:cantSplit/>
      </w:trPr>
      <w:tc>
        <w:tcPr>
          <w:tcW w:w="0" w:type="pct"/>
        </w:tcPr>
        <w:p w:rsidR="00EC379B" w:rsidRDefault="00682B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2B2E" w:rsidP="00C43E7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29902</w:t>
          </w:r>
        </w:p>
      </w:tc>
      <w:tc>
        <w:tcPr>
          <w:tcW w:w="2453" w:type="pct"/>
        </w:tcPr>
        <w:p w:rsidR="00EC379B" w:rsidRDefault="00682B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17.129.869</w:t>
          </w:r>
          <w:r>
            <w:fldChar w:fldCharType="end"/>
          </w:r>
        </w:p>
      </w:tc>
    </w:tr>
    <w:tr w:rsidR="008557D3" w:rsidTr="009C1E9A">
      <w:trPr>
        <w:cantSplit/>
      </w:trPr>
      <w:tc>
        <w:tcPr>
          <w:tcW w:w="0" w:type="pct"/>
        </w:tcPr>
        <w:p w:rsidR="00EC379B" w:rsidRDefault="00682B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2B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24390</w:t>
          </w:r>
        </w:p>
      </w:tc>
      <w:tc>
        <w:tcPr>
          <w:tcW w:w="2453" w:type="pct"/>
        </w:tcPr>
        <w:p w:rsidR="00EC379B" w:rsidRDefault="00682B2E" w:rsidP="006D504F">
          <w:pPr>
            <w:pStyle w:val="Footer"/>
            <w:rPr>
              <w:rStyle w:val="PageNumber"/>
            </w:rPr>
          </w:pPr>
        </w:p>
        <w:p w:rsidR="00EC379B" w:rsidRDefault="00682B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7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2B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2B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2B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E0" w:rsidRDefault="00682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B2E">
      <w:r>
        <w:separator/>
      </w:r>
    </w:p>
  </w:footnote>
  <w:footnote w:type="continuationSeparator" w:id="0">
    <w:p w:rsidR="00000000" w:rsidRDefault="0068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E0" w:rsidRDefault="00682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E0" w:rsidRDefault="00682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E0" w:rsidRDefault="0068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3"/>
    <w:rsid w:val="00682B2E"/>
    <w:rsid w:val="008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5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560"/>
  </w:style>
  <w:style w:type="paragraph" w:styleId="CommentSubject">
    <w:name w:val="annotation subject"/>
    <w:basedOn w:val="CommentText"/>
    <w:next w:val="CommentText"/>
    <w:link w:val="CommentSubjectChar"/>
    <w:rsid w:val="00DE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835"/>
    <w:rPr>
      <w:b/>
      <w:bCs/>
    </w:rPr>
  </w:style>
  <w:style w:type="paragraph" w:styleId="Revision">
    <w:name w:val="Revision"/>
    <w:hidden/>
    <w:uiPriority w:val="99"/>
    <w:semiHidden/>
    <w:rsid w:val="00F52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5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560"/>
  </w:style>
  <w:style w:type="paragraph" w:styleId="CommentSubject">
    <w:name w:val="annotation subject"/>
    <w:basedOn w:val="CommentText"/>
    <w:next w:val="CommentText"/>
    <w:link w:val="CommentSubjectChar"/>
    <w:rsid w:val="00DE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835"/>
    <w:rPr>
      <w:b/>
      <w:bCs/>
    </w:rPr>
  </w:style>
  <w:style w:type="paragraph" w:styleId="Revision">
    <w:name w:val="Revision"/>
    <w:hidden/>
    <w:uiPriority w:val="99"/>
    <w:semiHidden/>
    <w:rsid w:val="00F52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5351</Characters>
  <Application>Microsoft Office Word</Application>
  <DocSecurity>4</DocSecurity>
  <Lines>143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SB01630 (Committee Report (Substituted))</vt:lpstr>
    </vt:vector>
  </TitlesOfParts>
  <Company>State of Texas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29872</dc:subject>
  <dc:creator>State of Texas</dc:creator>
  <dc:description>SB 1630 by Buckingham-(H)Culture, Recreation &amp; Tourism (Substitute Document Number: 85R 24390)</dc:description>
  <cp:lastModifiedBy>Brianna Weis</cp:lastModifiedBy>
  <cp:revision>2</cp:revision>
  <cp:lastPrinted>2017-05-09T23:58:00Z</cp:lastPrinted>
  <dcterms:created xsi:type="dcterms:W3CDTF">2017-05-10T14:47:00Z</dcterms:created>
  <dcterms:modified xsi:type="dcterms:W3CDTF">2017-05-10T14:47:00Z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17.129.869</vt:lpwstr>
  </property>
</Properties>
</file>