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1728" w:rsidTr="00345119">
        <w:tc>
          <w:tcPr>
            <w:tcW w:w="9576" w:type="dxa"/>
            <w:noWrap/>
          </w:tcPr>
          <w:p w:rsidR="008423E4" w:rsidRPr="0022177D" w:rsidRDefault="005C574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574D" w:rsidP="008423E4">
      <w:pPr>
        <w:jc w:val="center"/>
      </w:pPr>
    </w:p>
    <w:p w:rsidR="008423E4" w:rsidRPr="00B31F0E" w:rsidRDefault="005C574D" w:rsidP="008423E4"/>
    <w:p w:rsidR="008423E4" w:rsidRPr="00742794" w:rsidRDefault="005C574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1728" w:rsidTr="00345119">
        <w:tc>
          <w:tcPr>
            <w:tcW w:w="9576" w:type="dxa"/>
          </w:tcPr>
          <w:p w:rsidR="008423E4" w:rsidRPr="00861995" w:rsidRDefault="005C574D" w:rsidP="00345119">
            <w:pPr>
              <w:jc w:val="right"/>
            </w:pPr>
            <w:r>
              <w:t>S.B. 1736</w:t>
            </w:r>
          </w:p>
        </w:tc>
      </w:tr>
      <w:tr w:rsidR="004D1728" w:rsidTr="00345119">
        <w:tc>
          <w:tcPr>
            <w:tcW w:w="9576" w:type="dxa"/>
          </w:tcPr>
          <w:p w:rsidR="008423E4" w:rsidRPr="00861995" w:rsidRDefault="005C574D" w:rsidP="0043211B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4D1728" w:rsidTr="00345119">
        <w:tc>
          <w:tcPr>
            <w:tcW w:w="9576" w:type="dxa"/>
          </w:tcPr>
          <w:p w:rsidR="008423E4" w:rsidRPr="00861995" w:rsidRDefault="005C574D" w:rsidP="00345119">
            <w:pPr>
              <w:jc w:val="right"/>
            </w:pPr>
            <w:r>
              <w:t>Judiciary &amp; Civil Jurisprudence</w:t>
            </w:r>
          </w:p>
        </w:tc>
      </w:tr>
      <w:tr w:rsidR="004D1728" w:rsidTr="00345119">
        <w:tc>
          <w:tcPr>
            <w:tcW w:w="9576" w:type="dxa"/>
          </w:tcPr>
          <w:p w:rsidR="008423E4" w:rsidRDefault="005C574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574D" w:rsidP="008423E4">
      <w:pPr>
        <w:tabs>
          <w:tab w:val="right" w:pos="9360"/>
        </w:tabs>
      </w:pPr>
    </w:p>
    <w:p w:rsidR="008423E4" w:rsidRDefault="005C574D" w:rsidP="008423E4"/>
    <w:p w:rsidR="008423E4" w:rsidRDefault="005C574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1728" w:rsidTr="00345119">
        <w:tc>
          <w:tcPr>
            <w:tcW w:w="9576" w:type="dxa"/>
          </w:tcPr>
          <w:p w:rsidR="008423E4" w:rsidRPr="00A8133F" w:rsidRDefault="005C574D" w:rsidP="003456B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574D" w:rsidP="003456BE"/>
          <w:p w:rsidR="008423E4" w:rsidRDefault="005C574D" w:rsidP="003456BE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suggest that property owners who allow the carrying of handguns on their property can be subject to too </w:t>
            </w:r>
            <w:r>
              <w:t>much liability</w:t>
            </w:r>
            <w:r>
              <w:t xml:space="preserve">. </w:t>
            </w:r>
            <w:r>
              <w:t>S.B. 1736</w:t>
            </w:r>
            <w:r>
              <w:t xml:space="preserve"> </w:t>
            </w:r>
            <w:r>
              <w:t xml:space="preserve">seeks to </w:t>
            </w:r>
            <w:r>
              <w:t>reform</w:t>
            </w:r>
            <w:r>
              <w:t xml:space="preserve"> the liability of a person who allows handguns to be carried on property owned, controlled, or managed by the person.</w:t>
            </w:r>
          </w:p>
          <w:p w:rsidR="008423E4" w:rsidRPr="00E26B13" w:rsidRDefault="005C574D" w:rsidP="003456BE">
            <w:pPr>
              <w:rPr>
                <w:b/>
              </w:rPr>
            </w:pPr>
          </w:p>
        </w:tc>
      </w:tr>
      <w:tr w:rsidR="004D1728" w:rsidTr="00345119">
        <w:tc>
          <w:tcPr>
            <w:tcW w:w="9576" w:type="dxa"/>
          </w:tcPr>
          <w:p w:rsidR="0017725B" w:rsidRDefault="005C574D" w:rsidP="003456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574D" w:rsidP="003456BE">
            <w:pPr>
              <w:rPr>
                <w:b/>
                <w:u w:val="single"/>
              </w:rPr>
            </w:pPr>
          </w:p>
          <w:p w:rsidR="009E6F5E" w:rsidRPr="009E6F5E" w:rsidRDefault="005C574D" w:rsidP="003456BE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C574D" w:rsidP="003456BE">
            <w:pPr>
              <w:rPr>
                <w:b/>
                <w:u w:val="single"/>
              </w:rPr>
            </w:pPr>
          </w:p>
        </w:tc>
      </w:tr>
      <w:tr w:rsidR="004D1728" w:rsidTr="00345119">
        <w:tc>
          <w:tcPr>
            <w:tcW w:w="9576" w:type="dxa"/>
          </w:tcPr>
          <w:p w:rsidR="008423E4" w:rsidRPr="00A8133F" w:rsidRDefault="005C574D" w:rsidP="003456B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574D" w:rsidP="003456BE"/>
          <w:p w:rsidR="009E6F5E" w:rsidRDefault="005C574D" w:rsidP="003456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:rsidR="008423E4" w:rsidRPr="00E21FDC" w:rsidRDefault="005C574D" w:rsidP="003456BE">
            <w:pPr>
              <w:rPr>
                <w:b/>
              </w:rPr>
            </w:pPr>
          </w:p>
        </w:tc>
      </w:tr>
      <w:tr w:rsidR="004D1728" w:rsidTr="00345119">
        <w:tc>
          <w:tcPr>
            <w:tcW w:w="9576" w:type="dxa"/>
          </w:tcPr>
          <w:p w:rsidR="008423E4" w:rsidRPr="00A8133F" w:rsidRDefault="005C574D" w:rsidP="003456B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574D" w:rsidP="003456BE"/>
          <w:p w:rsidR="008423E4" w:rsidRDefault="005C574D" w:rsidP="003456BE">
            <w:pPr>
              <w:pStyle w:val="Header"/>
              <w:jc w:val="both"/>
            </w:pPr>
            <w:r>
              <w:t>S.B. 1736</w:t>
            </w:r>
            <w:r>
              <w:t xml:space="preserve"> </w:t>
            </w:r>
            <w:r>
              <w:t>amends the Civil Practice and Remedies Code to</w:t>
            </w:r>
            <w:r>
              <w:t xml:space="preserve"> </w:t>
            </w:r>
            <w:r>
              <w:t xml:space="preserve">make </w:t>
            </w:r>
            <w:r>
              <w:t>t</w:t>
            </w:r>
            <w:r w:rsidRPr="00224AE2">
              <w:t>he fact that a card, sign, or other document</w:t>
            </w:r>
            <w:r w:rsidRPr="00847B0C">
              <w:t xml:space="preserve"> </w:t>
            </w:r>
            <w:r>
              <w:t>prohibiting</w:t>
            </w:r>
            <w:r w:rsidRPr="00847B0C">
              <w:t xml:space="preserve"> a handgun license holder </w:t>
            </w:r>
            <w:r>
              <w:t>from</w:t>
            </w:r>
            <w:r w:rsidRPr="00847B0C">
              <w:t xml:space="preserve"> entering </w:t>
            </w:r>
            <w:r>
              <w:t>a</w:t>
            </w:r>
            <w:r w:rsidRPr="00847B0C">
              <w:t xml:space="preserve"> property with a concealed or openly carried handgun</w:t>
            </w:r>
            <w:r>
              <w:t xml:space="preserve"> </w:t>
            </w:r>
            <w:r w:rsidRPr="00224AE2">
              <w:t>is not posted on the property of a business or any other evidence that a person failed to exercise the person's option to forbid the carrying of a hand</w:t>
            </w:r>
            <w:r w:rsidRPr="00224AE2">
              <w:t>gun by a license holder on the property</w:t>
            </w:r>
            <w:r>
              <w:t xml:space="preserve"> inadmissible as evidence in trial on the merits</w:t>
            </w:r>
            <w:r>
              <w:t xml:space="preserve"> in an action </w:t>
            </w:r>
            <w:r>
              <w:t>against a person, including a business or other entity, who owns, controls, or manages the property, and in which the cause of action arises from an injury</w:t>
            </w:r>
            <w:r>
              <w:t xml:space="preserve"> sustained on the property</w:t>
            </w:r>
            <w:r>
              <w:t xml:space="preserve">. The bill establishes </w:t>
            </w:r>
            <w:r>
              <w:t xml:space="preserve">that such </w:t>
            </w:r>
            <w:r>
              <w:t xml:space="preserve">a </w:t>
            </w:r>
            <w:r>
              <w:t>fact</w:t>
            </w:r>
            <w:r>
              <w:t xml:space="preserve"> does not support such a cause of action against such a person</w:t>
            </w:r>
            <w:r w:rsidRPr="001C0331">
              <w:t>.</w:t>
            </w:r>
            <w:r>
              <w:t xml:space="preserve"> </w:t>
            </w:r>
          </w:p>
          <w:p w:rsidR="008423E4" w:rsidRPr="00835628" w:rsidRDefault="005C574D" w:rsidP="003456BE">
            <w:pPr>
              <w:rPr>
                <w:b/>
              </w:rPr>
            </w:pPr>
          </w:p>
        </w:tc>
      </w:tr>
      <w:tr w:rsidR="004D1728" w:rsidTr="00345119">
        <w:tc>
          <w:tcPr>
            <w:tcW w:w="9576" w:type="dxa"/>
          </w:tcPr>
          <w:p w:rsidR="008423E4" w:rsidRPr="00A8133F" w:rsidRDefault="005C574D" w:rsidP="003456B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574D" w:rsidP="003456BE"/>
          <w:p w:rsidR="008423E4" w:rsidRDefault="005C574D" w:rsidP="003456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145151" w:rsidRPr="00233FDB" w:rsidRDefault="005C574D" w:rsidP="003456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5C574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574D">
      <w:r>
        <w:separator/>
      </w:r>
    </w:p>
  </w:endnote>
  <w:endnote w:type="continuationSeparator" w:id="0">
    <w:p w:rsidR="00000000" w:rsidRDefault="005C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1728" w:rsidTr="009C1E9A">
      <w:trPr>
        <w:cantSplit/>
      </w:trPr>
      <w:tc>
        <w:tcPr>
          <w:tcW w:w="0" w:type="pct"/>
        </w:tcPr>
        <w:p w:rsidR="00137D90" w:rsidRDefault="005C57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57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57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57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57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1728" w:rsidTr="009C1E9A">
      <w:trPr>
        <w:cantSplit/>
      </w:trPr>
      <w:tc>
        <w:tcPr>
          <w:tcW w:w="0" w:type="pct"/>
        </w:tcPr>
        <w:p w:rsidR="00EC379B" w:rsidRDefault="005C57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574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31413</w:t>
          </w:r>
        </w:p>
      </w:tc>
      <w:tc>
        <w:tcPr>
          <w:tcW w:w="2453" w:type="pct"/>
        </w:tcPr>
        <w:p w:rsidR="00EC379B" w:rsidRDefault="005C57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17.136.952</w:t>
          </w:r>
          <w:r>
            <w:fldChar w:fldCharType="end"/>
          </w:r>
        </w:p>
      </w:tc>
    </w:tr>
    <w:tr w:rsidR="004D1728" w:rsidTr="009C1E9A">
      <w:trPr>
        <w:cantSplit/>
      </w:trPr>
      <w:tc>
        <w:tcPr>
          <w:tcW w:w="0" w:type="pct"/>
        </w:tcPr>
        <w:p w:rsidR="00EC379B" w:rsidRDefault="005C57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57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574D" w:rsidP="006D504F">
          <w:pPr>
            <w:pStyle w:val="Footer"/>
            <w:rPr>
              <w:rStyle w:val="PageNumber"/>
            </w:rPr>
          </w:pPr>
        </w:p>
        <w:p w:rsidR="00EC379B" w:rsidRDefault="005C57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17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57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574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574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574D">
      <w:r>
        <w:separator/>
      </w:r>
    </w:p>
  </w:footnote>
  <w:footnote w:type="continuationSeparator" w:id="0">
    <w:p w:rsidR="00000000" w:rsidRDefault="005C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28"/>
    <w:rsid w:val="004D1728"/>
    <w:rsid w:val="005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E6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6F5E"/>
  </w:style>
  <w:style w:type="paragraph" w:styleId="CommentSubject">
    <w:name w:val="annotation subject"/>
    <w:basedOn w:val="CommentText"/>
    <w:next w:val="CommentText"/>
    <w:link w:val="CommentSubjectChar"/>
    <w:rsid w:val="009E6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E6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6F5E"/>
  </w:style>
  <w:style w:type="paragraph" w:styleId="CommentSubject">
    <w:name w:val="annotation subject"/>
    <w:basedOn w:val="CommentText"/>
    <w:next w:val="CommentText"/>
    <w:link w:val="CommentSubjectChar"/>
    <w:rsid w:val="009E6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1400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SB01736 (Committee Report (Unamended))</vt:lpstr>
    </vt:vector>
  </TitlesOfParts>
  <Company>State of Texas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31413</dc:subject>
  <dc:creator>State of Texas</dc:creator>
  <dc:description>SB 1736 by Hughes-(H)Judiciary &amp; Civil Jurisprudence</dc:description>
  <cp:lastModifiedBy>Brianna Weis</cp:lastModifiedBy>
  <cp:revision>2</cp:revision>
  <cp:lastPrinted>2017-05-16T20:48:00Z</cp:lastPrinted>
  <dcterms:created xsi:type="dcterms:W3CDTF">2017-05-17T17:56:00Z</dcterms:created>
  <dcterms:modified xsi:type="dcterms:W3CDTF">2017-05-17T17:56:00Z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17.136.952</vt:lpwstr>
  </property>
</Properties>
</file>