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F1" w:rsidRDefault="000D41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CEE1F5E94145ED82EA38BA21BFEA7B"/>
          </w:placeholder>
        </w:sdtPr>
        <w:sdtContent>
          <w:r w:rsidRPr="005C2A78">
            <w:rPr>
              <w:rFonts w:cs="Times New Roman"/>
              <w:b/>
              <w:szCs w:val="24"/>
              <w:u w:val="single"/>
            </w:rPr>
            <w:t>BILL ANALYSIS</w:t>
          </w:r>
        </w:sdtContent>
      </w:sdt>
    </w:p>
    <w:p w:rsidR="000D41F1" w:rsidRPr="00585C31" w:rsidRDefault="000D41F1" w:rsidP="000F1DF9">
      <w:pPr>
        <w:spacing w:after="0" w:line="240" w:lineRule="auto"/>
        <w:rPr>
          <w:rFonts w:cs="Times New Roman"/>
          <w:szCs w:val="24"/>
        </w:rPr>
      </w:pPr>
    </w:p>
    <w:p w:rsidR="000D41F1" w:rsidRPr="00585C31" w:rsidRDefault="000D41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41F1" w:rsidTr="000F1DF9">
        <w:tc>
          <w:tcPr>
            <w:tcW w:w="2718" w:type="dxa"/>
          </w:tcPr>
          <w:p w:rsidR="000D41F1" w:rsidRPr="005C2A78" w:rsidRDefault="000D41F1" w:rsidP="006D756B">
            <w:pPr>
              <w:rPr>
                <w:rFonts w:cs="Times New Roman"/>
                <w:szCs w:val="24"/>
              </w:rPr>
            </w:pPr>
            <w:sdt>
              <w:sdtPr>
                <w:rPr>
                  <w:rFonts w:cs="Times New Roman"/>
                  <w:szCs w:val="24"/>
                </w:rPr>
                <w:alias w:val="Agency Title"/>
                <w:tag w:val="AgencyTitleContentControl"/>
                <w:id w:val="1920747753"/>
                <w:lock w:val="sdtContentLocked"/>
                <w:placeholder>
                  <w:docPart w:val="34D294763DC34C8BB748D3F420352173"/>
                </w:placeholder>
              </w:sdtPr>
              <w:sdtEndPr>
                <w:rPr>
                  <w:rFonts w:cstheme="minorBidi"/>
                  <w:szCs w:val="22"/>
                </w:rPr>
              </w:sdtEndPr>
              <w:sdtContent>
                <w:r>
                  <w:rPr>
                    <w:rFonts w:cs="Times New Roman"/>
                    <w:szCs w:val="24"/>
                  </w:rPr>
                  <w:t>Senate Research Center</w:t>
                </w:r>
              </w:sdtContent>
            </w:sdt>
          </w:p>
        </w:tc>
        <w:tc>
          <w:tcPr>
            <w:tcW w:w="6858" w:type="dxa"/>
          </w:tcPr>
          <w:p w:rsidR="000D41F1" w:rsidRPr="00FF6471" w:rsidRDefault="000D41F1" w:rsidP="000F1DF9">
            <w:pPr>
              <w:jc w:val="right"/>
              <w:rPr>
                <w:rFonts w:cs="Times New Roman"/>
                <w:szCs w:val="24"/>
              </w:rPr>
            </w:pPr>
            <w:sdt>
              <w:sdtPr>
                <w:rPr>
                  <w:rFonts w:cs="Times New Roman"/>
                  <w:szCs w:val="24"/>
                </w:rPr>
                <w:alias w:val="Bill Number"/>
                <w:tag w:val="BillNumberOne"/>
                <w:id w:val="-410784069"/>
                <w:lock w:val="sdtContentLocked"/>
                <w:placeholder>
                  <w:docPart w:val="DFC0A373C92045E99169DE08C1A46576"/>
                </w:placeholder>
              </w:sdtPr>
              <w:sdtContent>
                <w:r>
                  <w:rPr>
                    <w:rFonts w:cs="Times New Roman"/>
                    <w:szCs w:val="24"/>
                  </w:rPr>
                  <w:t>S.B. 1781</w:t>
                </w:r>
              </w:sdtContent>
            </w:sdt>
          </w:p>
        </w:tc>
      </w:tr>
      <w:tr w:rsidR="000D41F1" w:rsidTr="000F1DF9">
        <w:sdt>
          <w:sdtPr>
            <w:rPr>
              <w:rFonts w:cs="Times New Roman"/>
              <w:szCs w:val="24"/>
            </w:rPr>
            <w:alias w:val="TLCNumber"/>
            <w:tag w:val="TLCNumber"/>
            <w:id w:val="-542600604"/>
            <w:lock w:val="sdtLocked"/>
            <w:placeholder>
              <w:docPart w:val="98E92DA966D8410193D5F3667703425A"/>
            </w:placeholder>
            <w:showingPlcHdr/>
          </w:sdtPr>
          <w:sdtContent>
            <w:tc>
              <w:tcPr>
                <w:tcW w:w="2718" w:type="dxa"/>
              </w:tcPr>
              <w:p w:rsidR="000D41F1" w:rsidRPr="000F1DF9" w:rsidRDefault="000D41F1" w:rsidP="00EB352B">
                <w:pPr>
                  <w:rPr>
                    <w:rFonts w:cs="Times New Roman"/>
                    <w:szCs w:val="24"/>
                  </w:rPr>
                </w:pPr>
              </w:p>
            </w:tc>
          </w:sdtContent>
        </w:sdt>
        <w:tc>
          <w:tcPr>
            <w:tcW w:w="6858" w:type="dxa"/>
          </w:tcPr>
          <w:p w:rsidR="000D41F1" w:rsidRPr="005C2A78" w:rsidRDefault="000D41F1" w:rsidP="006D756B">
            <w:pPr>
              <w:jc w:val="right"/>
              <w:rPr>
                <w:rFonts w:cs="Times New Roman"/>
                <w:szCs w:val="24"/>
              </w:rPr>
            </w:pPr>
            <w:sdt>
              <w:sdtPr>
                <w:rPr>
                  <w:rFonts w:cs="Times New Roman"/>
                  <w:szCs w:val="24"/>
                </w:rPr>
                <w:alias w:val="Author Label"/>
                <w:tag w:val="By"/>
                <w:id w:val="72399597"/>
                <w:lock w:val="sdtLocked"/>
                <w:placeholder>
                  <w:docPart w:val="388363273637468BB8210F0EEF528B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AD0B8B788E4F6BAC66299C2FAC6006"/>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4CA6839BF03E425F98CA6B834B2D944C"/>
                </w:placeholder>
                <w:showingPlcHdr/>
              </w:sdtPr>
              <w:sdtContent/>
            </w:sdt>
          </w:p>
        </w:tc>
      </w:tr>
      <w:tr w:rsidR="000D41F1" w:rsidTr="000F1DF9">
        <w:tc>
          <w:tcPr>
            <w:tcW w:w="2718" w:type="dxa"/>
          </w:tcPr>
          <w:p w:rsidR="000D41F1" w:rsidRPr="00BC7495" w:rsidRDefault="000D41F1" w:rsidP="000F1DF9">
            <w:pPr>
              <w:rPr>
                <w:rFonts w:cs="Times New Roman"/>
                <w:szCs w:val="24"/>
              </w:rPr>
            </w:pPr>
          </w:p>
        </w:tc>
        <w:sdt>
          <w:sdtPr>
            <w:rPr>
              <w:rFonts w:cs="Times New Roman"/>
              <w:szCs w:val="24"/>
            </w:rPr>
            <w:alias w:val="Committee"/>
            <w:tag w:val="Committee"/>
            <w:id w:val="1914272295"/>
            <w:lock w:val="sdtContentLocked"/>
            <w:placeholder>
              <w:docPart w:val="8A5F6BAF50FE4BD1913CFA72B8540DB6"/>
            </w:placeholder>
          </w:sdtPr>
          <w:sdtContent>
            <w:tc>
              <w:tcPr>
                <w:tcW w:w="6858" w:type="dxa"/>
              </w:tcPr>
              <w:p w:rsidR="000D41F1" w:rsidRPr="00FF6471" w:rsidRDefault="000D41F1" w:rsidP="000F1DF9">
                <w:pPr>
                  <w:jc w:val="right"/>
                  <w:rPr>
                    <w:rFonts w:cs="Times New Roman"/>
                    <w:szCs w:val="24"/>
                  </w:rPr>
                </w:pPr>
                <w:r>
                  <w:rPr>
                    <w:rFonts w:cs="Times New Roman"/>
                    <w:szCs w:val="24"/>
                  </w:rPr>
                  <w:t>Higher Education</w:t>
                </w:r>
              </w:p>
            </w:tc>
          </w:sdtContent>
        </w:sdt>
      </w:tr>
      <w:tr w:rsidR="000D41F1" w:rsidTr="000F1DF9">
        <w:tc>
          <w:tcPr>
            <w:tcW w:w="2718" w:type="dxa"/>
          </w:tcPr>
          <w:p w:rsidR="000D41F1" w:rsidRPr="00BC7495" w:rsidRDefault="000D41F1" w:rsidP="000F1DF9">
            <w:pPr>
              <w:rPr>
                <w:rFonts w:cs="Times New Roman"/>
                <w:szCs w:val="24"/>
              </w:rPr>
            </w:pPr>
          </w:p>
        </w:tc>
        <w:sdt>
          <w:sdtPr>
            <w:rPr>
              <w:rFonts w:cs="Times New Roman"/>
              <w:szCs w:val="24"/>
            </w:rPr>
            <w:alias w:val="Date"/>
            <w:tag w:val="DateContentControl"/>
            <w:id w:val="1178081906"/>
            <w:lock w:val="sdtLocked"/>
            <w:placeholder>
              <w:docPart w:val="E04A504E291643A893C57FFA01CAD990"/>
            </w:placeholder>
            <w:date w:fullDate="2017-06-30T00:00:00Z">
              <w:dateFormat w:val="M/d/yyyy"/>
              <w:lid w:val="en-US"/>
              <w:storeMappedDataAs w:val="dateTime"/>
              <w:calendar w:val="gregorian"/>
            </w:date>
          </w:sdtPr>
          <w:sdtContent>
            <w:tc>
              <w:tcPr>
                <w:tcW w:w="6858" w:type="dxa"/>
              </w:tcPr>
              <w:p w:rsidR="000D41F1" w:rsidRPr="00FF6471" w:rsidRDefault="000D41F1" w:rsidP="00056BBF">
                <w:pPr>
                  <w:jc w:val="right"/>
                  <w:rPr>
                    <w:rFonts w:cs="Times New Roman"/>
                    <w:szCs w:val="24"/>
                  </w:rPr>
                </w:pPr>
                <w:r>
                  <w:rPr>
                    <w:rFonts w:cs="Times New Roman"/>
                    <w:szCs w:val="24"/>
                  </w:rPr>
                  <w:t>6/30/2017</w:t>
                </w:r>
              </w:p>
            </w:tc>
          </w:sdtContent>
        </w:sdt>
      </w:tr>
      <w:tr w:rsidR="000D41F1" w:rsidTr="000F1DF9">
        <w:tc>
          <w:tcPr>
            <w:tcW w:w="2718" w:type="dxa"/>
          </w:tcPr>
          <w:p w:rsidR="000D41F1" w:rsidRPr="00BC7495" w:rsidRDefault="000D41F1" w:rsidP="000F1DF9">
            <w:pPr>
              <w:rPr>
                <w:rFonts w:cs="Times New Roman"/>
                <w:szCs w:val="24"/>
              </w:rPr>
            </w:pPr>
          </w:p>
        </w:tc>
        <w:sdt>
          <w:sdtPr>
            <w:rPr>
              <w:rFonts w:cs="Times New Roman"/>
              <w:szCs w:val="24"/>
            </w:rPr>
            <w:alias w:val="BA Version"/>
            <w:tag w:val="BAVersion"/>
            <w:id w:val="-1685590809"/>
            <w:lock w:val="sdtContentLocked"/>
            <w:placeholder>
              <w:docPart w:val="F9F4170EA69B413E843967004B42753F"/>
            </w:placeholder>
          </w:sdtPr>
          <w:sdtContent>
            <w:tc>
              <w:tcPr>
                <w:tcW w:w="6858" w:type="dxa"/>
              </w:tcPr>
              <w:p w:rsidR="000D41F1" w:rsidRPr="00FF6471" w:rsidRDefault="000D41F1" w:rsidP="000F1DF9">
                <w:pPr>
                  <w:jc w:val="right"/>
                  <w:rPr>
                    <w:rFonts w:cs="Times New Roman"/>
                    <w:szCs w:val="24"/>
                  </w:rPr>
                </w:pPr>
                <w:r>
                  <w:rPr>
                    <w:rFonts w:cs="Times New Roman"/>
                    <w:szCs w:val="24"/>
                  </w:rPr>
                  <w:t>Enrolled</w:t>
                </w:r>
              </w:p>
            </w:tc>
          </w:sdtContent>
        </w:sdt>
      </w:tr>
    </w:tbl>
    <w:p w:rsidR="000D41F1" w:rsidRPr="00FF6471" w:rsidRDefault="000D41F1" w:rsidP="000F1DF9">
      <w:pPr>
        <w:spacing w:after="0" w:line="240" w:lineRule="auto"/>
        <w:rPr>
          <w:rFonts w:cs="Times New Roman"/>
          <w:szCs w:val="24"/>
        </w:rPr>
      </w:pPr>
    </w:p>
    <w:p w:rsidR="000D41F1" w:rsidRPr="00FF6471" w:rsidRDefault="000D41F1" w:rsidP="000F1DF9">
      <w:pPr>
        <w:spacing w:after="0" w:line="240" w:lineRule="auto"/>
        <w:rPr>
          <w:rFonts w:cs="Times New Roman"/>
          <w:szCs w:val="24"/>
        </w:rPr>
      </w:pPr>
    </w:p>
    <w:p w:rsidR="000D41F1" w:rsidRPr="00FF6471" w:rsidRDefault="000D41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85EC06DC8C49D789ED16B4F82D9655"/>
        </w:placeholder>
      </w:sdtPr>
      <w:sdtContent>
        <w:p w:rsidR="000D41F1" w:rsidRDefault="000D41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081B662C0943B5B176CBC0654DBC5A"/>
        </w:placeholder>
      </w:sdtPr>
      <w:sdtContent>
        <w:p w:rsidR="000D41F1" w:rsidRDefault="000D41F1" w:rsidP="00636D6F">
          <w:pPr>
            <w:pStyle w:val="NormalWeb"/>
            <w:spacing w:before="0" w:beforeAutospacing="0" w:after="0" w:afterAutospacing="0"/>
            <w:jc w:val="both"/>
            <w:divId w:val="1771244315"/>
            <w:rPr>
              <w:rFonts w:eastAsia="Times New Roman" w:cstheme="minorBidi"/>
              <w:bCs/>
              <w:szCs w:val="22"/>
            </w:rPr>
          </w:pPr>
        </w:p>
        <w:p w:rsidR="000D41F1" w:rsidRPr="00EB352B" w:rsidRDefault="000D41F1" w:rsidP="00636D6F">
          <w:pPr>
            <w:pStyle w:val="NormalWeb"/>
            <w:spacing w:before="0" w:beforeAutospacing="0" w:after="0" w:afterAutospacing="0"/>
            <w:jc w:val="both"/>
            <w:divId w:val="1771244315"/>
          </w:pPr>
          <w:r w:rsidRPr="00EB352B">
            <w:t>The Texas Higher Education Coordinating Board is charged with the oversight of certain career colleges. These institutions will play an important role in meeting the goals of 60x30TX. While most of these institutions are stable and reputable, students at some of these schools fall victim to sudden closures due to mismanagement, financial weakness</w:t>
          </w:r>
          <w:r>
            <w:t>,</w:t>
          </w:r>
          <w:r w:rsidRPr="00EB352B">
            <w:t xml:space="preserve"> or other difficulties.</w:t>
          </w:r>
        </w:p>
        <w:p w:rsidR="000D41F1" w:rsidRPr="00EB352B" w:rsidRDefault="000D41F1" w:rsidP="00636D6F">
          <w:pPr>
            <w:pStyle w:val="NormalWeb"/>
            <w:spacing w:before="0" w:beforeAutospacing="0" w:after="0" w:afterAutospacing="0"/>
            <w:jc w:val="both"/>
            <w:divId w:val="1771244315"/>
          </w:pPr>
          <w:r w:rsidRPr="00EB352B">
            <w:t> </w:t>
          </w:r>
        </w:p>
        <w:p w:rsidR="000D41F1" w:rsidRDefault="000D41F1" w:rsidP="00636D6F">
          <w:pPr>
            <w:pStyle w:val="NormalWeb"/>
            <w:spacing w:before="0" w:beforeAutospacing="0" w:after="0" w:afterAutospacing="0"/>
            <w:jc w:val="both"/>
            <w:divId w:val="1771244315"/>
          </w:pPr>
          <w:r w:rsidRPr="00EB352B">
            <w:t xml:space="preserve">S.B. 1781: </w:t>
          </w:r>
        </w:p>
        <w:p w:rsidR="000D41F1" w:rsidRDefault="000D41F1" w:rsidP="00636D6F">
          <w:pPr>
            <w:pStyle w:val="NormalWeb"/>
            <w:spacing w:before="0" w:beforeAutospacing="0" w:after="0" w:afterAutospacing="0"/>
            <w:jc w:val="both"/>
            <w:divId w:val="1771244315"/>
          </w:pPr>
        </w:p>
        <w:p w:rsidR="000D41F1" w:rsidRPr="00EB352B" w:rsidRDefault="000D41F1" w:rsidP="00636D6F">
          <w:pPr>
            <w:pStyle w:val="NormalWeb"/>
            <w:spacing w:before="0" w:beforeAutospacing="0" w:after="0" w:afterAutospacing="0"/>
            <w:jc w:val="both"/>
            <w:divId w:val="1771244315"/>
          </w:pPr>
          <w:r w:rsidRPr="00EB352B">
            <w:t>Makes the agency's authority explicit, requiring compliance with accrediting bodies, federal financial rules, and state statutes and rules.</w:t>
          </w:r>
        </w:p>
        <w:p w:rsidR="000D41F1" w:rsidRPr="00EB352B" w:rsidRDefault="000D41F1" w:rsidP="00636D6F">
          <w:pPr>
            <w:pStyle w:val="NormalWeb"/>
            <w:spacing w:before="0" w:beforeAutospacing="0" w:after="0" w:afterAutospacing="0"/>
            <w:jc w:val="both"/>
            <w:divId w:val="1771244315"/>
          </w:pPr>
          <w:r w:rsidRPr="00EB352B">
            <w:t> </w:t>
          </w:r>
        </w:p>
        <w:p w:rsidR="000D41F1" w:rsidRPr="00EB352B" w:rsidRDefault="000D41F1" w:rsidP="00636D6F">
          <w:pPr>
            <w:pStyle w:val="NormalWeb"/>
            <w:spacing w:before="0" w:beforeAutospacing="0" w:after="0" w:afterAutospacing="0"/>
            <w:jc w:val="both"/>
            <w:divId w:val="1771244315"/>
          </w:pPr>
          <w:r w:rsidRPr="00EB352B">
            <w:t>Clarifies the agency's ability to revoke certificates of authorization for cause.</w:t>
          </w:r>
        </w:p>
        <w:p w:rsidR="000D41F1" w:rsidRPr="00EB352B" w:rsidRDefault="000D41F1" w:rsidP="00636D6F">
          <w:pPr>
            <w:pStyle w:val="NormalWeb"/>
            <w:spacing w:before="0" w:beforeAutospacing="0" w:after="0" w:afterAutospacing="0"/>
            <w:jc w:val="both"/>
            <w:divId w:val="1771244315"/>
          </w:pPr>
          <w:r w:rsidRPr="00EB352B">
            <w:t> </w:t>
          </w:r>
        </w:p>
        <w:p w:rsidR="000D41F1" w:rsidRPr="00EB352B" w:rsidRDefault="000D41F1" w:rsidP="00636D6F">
          <w:pPr>
            <w:pStyle w:val="NormalWeb"/>
            <w:spacing w:before="0" w:beforeAutospacing="0" w:after="0" w:afterAutospacing="0"/>
            <w:jc w:val="both"/>
            <w:divId w:val="1771244315"/>
          </w:pPr>
          <w:r w:rsidRPr="00EB352B">
            <w:t>Establishes the agency as the repository for student records of closed career colleges.</w:t>
          </w:r>
        </w:p>
        <w:p w:rsidR="000D41F1" w:rsidRPr="00EB352B" w:rsidRDefault="000D41F1" w:rsidP="00636D6F">
          <w:pPr>
            <w:pStyle w:val="NormalWeb"/>
            <w:spacing w:before="0" w:beforeAutospacing="0" w:after="0" w:afterAutospacing="0"/>
            <w:jc w:val="both"/>
            <w:divId w:val="1771244315"/>
          </w:pPr>
          <w:r w:rsidRPr="00EB352B">
            <w:t> </w:t>
          </w:r>
        </w:p>
        <w:p w:rsidR="000D41F1" w:rsidRPr="00EB352B" w:rsidRDefault="000D41F1" w:rsidP="00636D6F">
          <w:pPr>
            <w:pStyle w:val="NormalWeb"/>
            <w:spacing w:before="0" w:beforeAutospacing="0" w:after="0" w:afterAutospacing="0"/>
            <w:jc w:val="both"/>
            <w:divId w:val="1771244315"/>
          </w:pPr>
          <w:r w:rsidRPr="00EB352B">
            <w:t>Provides resources necessary to maintain the repository.</w:t>
          </w:r>
        </w:p>
        <w:p w:rsidR="000D41F1" w:rsidRPr="00EB352B" w:rsidRDefault="000D41F1" w:rsidP="00636D6F">
          <w:pPr>
            <w:pStyle w:val="NormalWeb"/>
            <w:spacing w:before="0" w:beforeAutospacing="0" w:after="0" w:afterAutospacing="0"/>
            <w:jc w:val="both"/>
            <w:divId w:val="1771244315"/>
          </w:pPr>
          <w:r w:rsidRPr="00EB352B">
            <w:t> </w:t>
          </w:r>
        </w:p>
        <w:p w:rsidR="000D41F1" w:rsidRPr="00EB352B" w:rsidRDefault="000D41F1" w:rsidP="00636D6F">
          <w:pPr>
            <w:pStyle w:val="NormalWeb"/>
            <w:spacing w:before="0" w:beforeAutospacing="0" w:after="0" w:afterAutospacing="0"/>
            <w:jc w:val="both"/>
            <w:divId w:val="1771244315"/>
          </w:pPr>
          <w:r w:rsidRPr="00EB352B">
            <w:t>Between 2008 and 2014, the number of students attending career colleges in Texas increased by 230 percent. Since 2012, 57 career colleges operating in Texas have closed. (Original Author's / Sponsor's Statement of Intent)</w:t>
          </w:r>
        </w:p>
        <w:p w:rsidR="000D41F1" w:rsidRPr="00D70925" w:rsidRDefault="000D41F1" w:rsidP="00636D6F">
          <w:pPr>
            <w:spacing w:after="0" w:line="240" w:lineRule="auto"/>
            <w:jc w:val="both"/>
            <w:rPr>
              <w:rFonts w:eastAsia="Times New Roman" w:cs="Times New Roman"/>
              <w:bCs/>
              <w:szCs w:val="24"/>
            </w:rPr>
          </w:pPr>
        </w:p>
      </w:sdtContent>
    </w:sdt>
    <w:p w:rsidR="000D41F1" w:rsidRDefault="000D41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1781 </w:t>
      </w:r>
      <w:bookmarkStart w:id="1" w:name="AmendsCurrentLaw"/>
      <w:bookmarkEnd w:id="1"/>
      <w:r>
        <w:rPr>
          <w:rFonts w:cs="Times New Roman"/>
          <w:szCs w:val="24"/>
        </w:rPr>
        <w:t>amends current law relating to the regulation of certain educational institutions by the Texas Higher Education Coordinating Board and provides administrative penalties.</w:t>
      </w:r>
    </w:p>
    <w:p w:rsidR="000D41F1" w:rsidRPr="00783310" w:rsidRDefault="000D41F1" w:rsidP="000F1DF9">
      <w:pPr>
        <w:spacing w:after="0" w:line="240" w:lineRule="auto"/>
        <w:jc w:val="both"/>
        <w:rPr>
          <w:rFonts w:eastAsia="Times New Roman" w:cs="Times New Roman"/>
          <w:szCs w:val="24"/>
        </w:rPr>
      </w:pPr>
    </w:p>
    <w:p w:rsidR="000D41F1" w:rsidRPr="005C2A78" w:rsidRDefault="000D41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EABBA3D5EF48879C105BB7A7195E8F"/>
          </w:placeholder>
        </w:sdtPr>
        <w:sdtContent>
          <w:r>
            <w:rPr>
              <w:rFonts w:eastAsia="Times New Roman" w:cs="Times New Roman"/>
              <w:b/>
              <w:szCs w:val="24"/>
              <w:u w:val="single"/>
            </w:rPr>
            <w:t>RULEMAKING AUTHORITY</w:t>
          </w:r>
        </w:sdtContent>
      </w:sdt>
    </w:p>
    <w:p w:rsidR="000D41F1" w:rsidRPr="006529C4" w:rsidRDefault="000D41F1" w:rsidP="00774EC7">
      <w:pPr>
        <w:spacing w:after="0" w:line="240" w:lineRule="auto"/>
        <w:jc w:val="both"/>
        <w:rPr>
          <w:rFonts w:cs="Times New Roman"/>
          <w:szCs w:val="24"/>
        </w:rPr>
      </w:pPr>
    </w:p>
    <w:p w:rsidR="000D41F1" w:rsidRPr="006529C4" w:rsidRDefault="000D41F1" w:rsidP="00774EC7">
      <w:pPr>
        <w:spacing w:after="0" w:line="240" w:lineRule="auto"/>
        <w:jc w:val="both"/>
        <w:rPr>
          <w:rFonts w:cs="Times New Roman"/>
          <w:szCs w:val="24"/>
        </w:rPr>
      </w:pPr>
      <w:r>
        <w:rPr>
          <w:rFonts w:cs="Times New Roman"/>
          <w:szCs w:val="24"/>
        </w:rPr>
        <w:t xml:space="preserve">Rulemaking authority is expressly granted to the Texas Higher Education Coordinating Board in SECTION 2  (Section 61.303, Education Code), SECTION 3 (Section 61.3075, Education Code), and SECTION 6 (Section </w:t>
      </w:r>
      <w:r>
        <w:rPr>
          <w:rFonts w:eastAsia="Times New Roman" w:cs="Times New Roman"/>
          <w:szCs w:val="24"/>
        </w:rPr>
        <w:t xml:space="preserve">61.835, Education Code) </w:t>
      </w:r>
      <w:r>
        <w:rPr>
          <w:rFonts w:cs="Times New Roman"/>
          <w:szCs w:val="24"/>
        </w:rPr>
        <w:t>of this bill.</w:t>
      </w:r>
    </w:p>
    <w:p w:rsidR="000D41F1" w:rsidRPr="006529C4" w:rsidRDefault="000D41F1" w:rsidP="00774EC7">
      <w:pPr>
        <w:spacing w:after="0" w:line="240" w:lineRule="auto"/>
        <w:jc w:val="both"/>
        <w:rPr>
          <w:rFonts w:cs="Times New Roman"/>
          <w:szCs w:val="24"/>
        </w:rPr>
      </w:pPr>
    </w:p>
    <w:p w:rsidR="000D41F1" w:rsidRPr="005C2A78" w:rsidRDefault="000D41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742954B86A4ED5982737DDDB039D0A"/>
          </w:placeholder>
        </w:sdtPr>
        <w:sdtContent>
          <w:r>
            <w:rPr>
              <w:rFonts w:eastAsia="Times New Roman" w:cs="Times New Roman"/>
              <w:b/>
              <w:szCs w:val="24"/>
              <w:u w:val="single"/>
            </w:rPr>
            <w:t>SECTION BY SECTION ANALYSIS</w:t>
          </w:r>
        </w:sdtContent>
      </w:sdt>
    </w:p>
    <w:p w:rsidR="000D41F1" w:rsidRPr="005C2A78" w:rsidRDefault="000D41F1" w:rsidP="000F1DF9">
      <w:pPr>
        <w:spacing w:after="0" w:line="240" w:lineRule="auto"/>
        <w:jc w:val="both"/>
        <w:rPr>
          <w:rFonts w:eastAsia="Times New Roman" w:cs="Times New Roman"/>
          <w:szCs w:val="24"/>
        </w:rPr>
      </w:pPr>
    </w:p>
    <w:p w:rsidR="000D41F1" w:rsidRDefault="000D41F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61, Education Code, by adding Section 61.3025, as follows:</w:t>
      </w:r>
    </w:p>
    <w:p w:rsidR="000D41F1" w:rsidRDefault="000D41F1" w:rsidP="000F1DF9">
      <w:pPr>
        <w:spacing w:after="0" w:line="240" w:lineRule="auto"/>
        <w:jc w:val="both"/>
        <w:rPr>
          <w:rFonts w:eastAsia="Times New Roman" w:cs="Times New Roman"/>
          <w:szCs w:val="24"/>
        </w:rPr>
      </w:pPr>
    </w:p>
    <w:p w:rsidR="000D41F1" w:rsidRDefault="000D41F1" w:rsidP="00783310">
      <w:pPr>
        <w:spacing w:after="0" w:line="240" w:lineRule="auto"/>
        <w:ind w:left="720"/>
        <w:jc w:val="both"/>
        <w:rPr>
          <w:rFonts w:eastAsia="Times New Roman" w:cs="Times New Roman"/>
          <w:szCs w:val="24"/>
        </w:rPr>
      </w:pPr>
      <w:r>
        <w:rPr>
          <w:rFonts w:eastAsia="Times New Roman" w:cs="Times New Roman"/>
          <w:szCs w:val="24"/>
        </w:rPr>
        <w:t>Sec. 61.3025. DEFINITION: ACADEMIC RECORDS. (a) Defines "academic records."</w:t>
      </w:r>
    </w:p>
    <w:p w:rsidR="000D41F1" w:rsidRDefault="000D41F1" w:rsidP="00783310">
      <w:pPr>
        <w:spacing w:after="0" w:line="240" w:lineRule="auto"/>
        <w:ind w:left="720"/>
        <w:jc w:val="both"/>
        <w:rPr>
          <w:rFonts w:eastAsia="Times New Roman" w:cs="Times New Roman"/>
          <w:szCs w:val="24"/>
        </w:rPr>
      </w:pPr>
    </w:p>
    <w:p w:rsidR="000D41F1" w:rsidRPr="005C2A78" w:rsidRDefault="000D41F1" w:rsidP="00783310">
      <w:pPr>
        <w:spacing w:after="0" w:line="240" w:lineRule="auto"/>
        <w:ind w:left="1440"/>
        <w:jc w:val="both"/>
        <w:rPr>
          <w:rFonts w:eastAsia="Times New Roman" w:cs="Times New Roman"/>
          <w:szCs w:val="24"/>
        </w:rPr>
      </w:pPr>
      <w:r>
        <w:rPr>
          <w:rFonts w:eastAsia="Times New Roman" w:cs="Times New Roman"/>
          <w:szCs w:val="24"/>
        </w:rPr>
        <w:t xml:space="preserve">(b) Provides that the term "academic records" includes a student's educational history but does not include medical records, alumni records other than educational history, human resources records, or criminal history record information or other law enforcement records. </w:t>
      </w:r>
    </w:p>
    <w:p w:rsidR="000D41F1" w:rsidRPr="005C2A78" w:rsidRDefault="000D41F1" w:rsidP="000F1DF9">
      <w:pPr>
        <w:spacing w:after="0" w:line="240" w:lineRule="auto"/>
        <w:jc w:val="both"/>
        <w:rPr>
          <w:rFonts w:eastAsia="Times New Roman" w:cs="Times New Roman"/>
          <w:szCs w:val="24"/>
        </w:rPr>
      </w:pPr>
    </w:p>
    <w:p w:rsidR="000D41F1" w:rsidRDefault="000D41F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61.303, Education Code, as follows:</w:t>
      </w:r>
    </w:p>
    <w:p w:rsidR="000D41F1" w:rsidRDefault="000D41F1" w:rsidP="000F1DF9">
      <w:pPr>
        <w:spacing w:after="0" w:line="240" w:lineRule="auto"/>
        <w:jc w:val="both"/>
        <w:rPr>
          <w:rFonts w:eastAsia="Times New Roman" w:cs="Times New Roman"/>
          <w:szCs w:val="24"/>
        </w:rPr>
      </w:pPr>
    </w:p>
    <w:p w:rsidR="000D41F1" w:rsidRDefault="000D41F1" w:rsidP="00783310">
      <w:pPr>
        <w:spacing w:after="0" w:line="240" w:lineRule="auto"/>
        <w:ind w:left="720"/>
        <w:jc w:val="both"/>
        <w:rPr>
          <w:rFonts w:eastAsia="Times New Roman" w:cs="Times New Roman"/>
          <w:szCs w:val="24"/>
        </w:rPr>
      </w:pPr>
      <w:r>
        <w:rPr>
          <w:rFonts w:eastAsia="Times New Roman" w:cs="Times New Roman"/>
          <w:szCs w:val="24"/>
        </w:rPr>
        <w:t>Sec. 61.303. EXEMPTIONS. (a) Provides that unless specifically provided otherwise, the provisions of this subchapter (Regulation of Private Postsecondary Educational Institutions) do not apply to an institution that is fully accredited by, and is not operating under sanctions imposed by, a recognized accrediting agency, or an institution or degree program that has received approval by a state agency authorizing the institution's graduates to take certain licensing examinations administered by that agency. Makes nonsubstantive changes.</w:t>
      </w:r>
    </w:p>
    <w:p w:rsidR="000D41F1" w:rsidRDefault="000D41F1" w:rsidP="00783310">
      <w:pPr>
        <w:spacing w:after="0" w:line="240" w:lineRule="auto"/>
        <w:ind w:left="720"/>
        <w:jc w:val="both"/>
        <w:rPr>
          <w:rFonts w:eastAsia="Times New Roman" w:cs="Times New Roman"/>
          <w:szCs w:val="24"/>
        </w:rPr>
      </w:pPr>
    </w:p>
    <w:p w:rsidR="000D41F1" w:rsidRDefault="000D41F1" w:rsidP="00783310">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0D41F1" w:rsidRDefault="000D41F1" w:rsidP="00783310">
      <w:pPr>
        <w:spacing w:after="0" w:line="240" w:lineRule="auto"/>
        <w:ind w:left="1440"/>
        <w:jc w:val="both"/>
        <w:rPr>
          <w:rFonts w:eastAsia="Times New Roman" w:cs="Times New Roman"/>
          <w:szCs w:val="24"/>
        </w:rPr>
      </w:pPr>
    </w:p>
    <w:p w:rsidR="000D41F1" w:rsidRDefault="000D41F1" w:rsidP="00783310">
      <w:pPr>
        <w:spacing w:after="0" w:line="240" w:lineRule="auto"/>
        <w:ind w:left="1440"/>
        <w:jc w:val="both"/>
        <w:rPr>
          <w:rFonts w:eastAsia="Times New Roman" w:cs="Times New Roman"/>
          <w:szCs w:val="24"/>
        </w:rPr>
      </w:pPr>
      <w:r>
        <w:rPr>
          <w:rFonts w:eastAsia="Times New Roman" w:cs="Times New Roman"/>
          <w:szCs w:val="24"/>
        </w:rPr>
        <w:t>(c) Authorizes the Texas Higher Education Coordinating Board (THECB) to issue to an exempt institution or person a certificate of authorization to grant degrees, rather than authorizes a certificate of authorization to grant degrees to be issued to an exempt institution or person. Authorizes THECB to adopt rules regarding a process to allow an exempt institution or person to apply for and receive a certificate of authorization under this section.</w:t>
      </w:r>
    </w:p>
    <w:p w:rsidR="000D41F1" w:rsidRDefault="000D41F1" w:rsidP="00783310">
      <w:pPr>
        <w:spacing w:after="0" w:line="240" w:lineRule="auto"/>
        <w:ind w:left="1440"/>
        <w:jc w:val="both"/>
        <w:rPr>
          <w:rFonts w:eastAsia="Times New Roman" w:cs="Times New Roman"/>
          <w:szCs w:val="24"/>
        </w:rPr>
      </w:pPr>
    </w:p>
    <w:p w:rsidR="000D41F1" w:rsidRDefault="000D41F1" w:rsidP="00783310">
      <w:pPr>
        <w:spacing w:after="0" w:line="240" w:lineRule="auto"/>
        <w:ind w:left="1440"/>
        <w:jc w:val="both"/>
        <w:rPr>
          <w:rFonts w:eastAsia="Times New Roman" w:cs="Times New Roman"/>
          <w:szCs w:val="24"/>
        </w:rPr>
      </w:pPr>
      <w:r>
        <w:rPr>
          <w:rFonts w:eastAsia="Times New Roman" w:cs="Times New Roman"/>
          <w:szCs w:val="24"/>
        </w:rPr>
        <w:t xml:space="preserve">(d) Authorizes THECB, by rule, to require an exempt institution or person to ensure that the financial resources and financial stability of the institution or person are adequate to provide education of a good quality and to fulfill the institution's or person's commitments to its enrolled students and authorizes THECB to require the institution or person to provide to THECB documentation of the institution's or person's compliance with those requirements. Requires that rules adopted under this subsection: </w:t>
      </w:r>
    </w:p>
    <w:p w:rsidR="000D41F1" w:rsidRDefault="000D41F1" w:rsidP="00783310">
      <w:pPr>
        <w:spacing w:after="0" w:line="240" w:lineRule="auto"/>
        <w:ind w:left="1440"/>
        <w:jc w:val="both"/>
        <w:rPr>
          <w:rFonts w:eastAsia="Times New Roman" w:cs="Times New Roman"/>
          <w:szCs w:val="24"/>
        </w:rPr>
      </w:pPr>
    </w:p>
    <w:p w:rsidR="000D41F1" w:rsidRDefault="000D41F1" w:rsidP="00783310">
      <w:pPr>
        <w:spacing w:after="0" w:line="240" w:lineRule="auto"/>
        <w:ind w:left="2160"/>
        <w:jc w:val="both"/>
        <w:rPr>
          <w:rFonts w:eastAsia="Times New Roman" w:cs="Times New Roman"/>
          <w:szCs w:val="24"/>
        </w:rPr>
      </w:pPr>
      <w:r>
        <w:rPr>
          <w:rFonts w:eastAsia="Times New Roman" w:cs="Times New Roman"/>
          <w:szCs w:val="24"/>
        </w:rPr>
        <w:t>(1) require the institution or person to maintain reserves, lines of credit, or surety instruments that, when combined with tuition and fee receipts, are sufficient to allow the institution or person to fulfill its educational obligations to its enrolled students if the institution or person is unable to continue to provide instruction to its enrolled students for any reason; and</w:t>
      </w:r>
    </w:p>
    <w:p w:rsidR="000D41F1" w:rsidRDefault="000D41F1" w:rsidP="00783310">
      <w:pPr>
        <w:spacing w:after="0" w:line="240" w:lineRule="auto"/>
        <w:ind w:left="2160"/>
        <w:jc w:val="both"/>
        <w:rPr>
          <w:rFonts w:eastAsia="Times New Roman" w:cs="Times New Roman"/>
          <w:szCs w:val="24"/>
        </w:rPr>
      </w:pPr>
    </w:p>
    <w:p w:rsidR="000D41F1" w:rsidRDefault="000D41F1" w:rsidP="00783310">
      <w:pPr>
        <w:spacing w:after="0" w:line="240" w:lineRule="auto"/>
        <w:ind w:left="2160"/>
        <w:jc w:val="both"/>
        <w:rPr>
          <w:rFonts w:eastAsia="Times New Roman" w:cs="Times New Roman"/>
          <w:szCs w:val="24"/>
        </w:rPr>
      </w:pPr>
      <w:r>
        <w:rPr>
          <w:rFonts w:eastAsia="Times New Roman" w:cs="Times New Roman"/>
          <w:szCs w:val="24"/>
        </w:rPr>
        <w:t>(2) require that the financial resources maintained under Subdivision (1) be conditioned to allow only THECB to withdraw funds for the benefit of the institution's or person's enrolled students under the circumstance described by Subdivision (1).</w:t>
      </w:r>
    </w:p>
    <w:p w:rsidR="000D41F1" w:rsidRDefault="000D41F1" w:rsidP="00783310">
      <w:pPr>
        <w:spacing w:after="0" w:line="240" w:lineRule="auto"/>
        <w:ind w:left="2160"/>
        <w:jc w:val="both"/>
        <w:rPr>
          <w:rFonts w:eastAsia="Times New Roman" w:cs="Times New Roman"/>
          <w:szCs w:val="24"/>
        </w:rPr>
      </w:pPr>
    </w:p>
    <w:p w:rsidR="000D41F1" w:rsidRDefault="000D41F1" w:rsidP="00783310">
      <w:pPr>
        <w:spacing w:after="0" w:line="240" w:lineRule="auto"/>
        <w:ind w:left="1440"/>
        <w:jc w:val="both"/>
        <w:rPr>
          <w:rFonts w:eastAsia="Times New Roman" w:cs="Times New Roman"/>
          <w:szCs w:val="24"/>
        </w:rPr>
      </w:pPr>
      <w:r>
        <w:rPr>
          <w:rFonts w:eastAsia="Times New Roman" w:cs="Times New Roman"/>
          <w:szCs w:val="24"/>
        </w:rPr>
        <w:t xml:space="preserve">(e) Authorizes THECB, by rule, to enable THECB to verify the conditions under which a certificate of authorization issued under this section is held, to require an exempt institution or person to report to THECB on a continuing basis other appropriate information in addition to the documentation required under Subsection (d). </w:t>
      </w:r>
    </w:p>
    <w:p w:rsidR="000D41F1" w:rsidRDefault="000D41F1" w:rsidP="00783310">
      <w:pPr>
        <w:spacing w:after="0" w:line="240" w:lineRule="auto"/>
        <w:ind w:left="1440"/>
        <w:jc w:val="both"/>
        <w:rPr>
          <w:rFonts w:eastAsia="Times New Roman" w:cs="Times New Roman"/>
          <w:szCs w:val="24"/>
        </w:rPr>
      </w:pPr>
    </w:p>
    <w:p w:rsidR="000D41F1" w:rsidRDefault="000D41F1" w:rsidP="00783310">
      <w:pPr>
        <w:spacing w:after="0" w:line="240" w:lineRule="auto"/>
        <w:ind w:left="1440"/>
        <w:jc w:val="both"/>
        <w:rPr>
          <w:rFonts w:eastAsia="Times New Roman" w:cs="Times New Roman"/>
          <w:szCs w:val="24"/>
        </w:rPr>
      </w:pPr>
      <w:r>
        <w:rPr>
          <w:rFonts w:eastAsia="Times New Roman" w:cs="Times New Roman"/>
          <w:szCs w:val="24"/>
        </w:rPr>
        <w:t xml:space="preserve">(f) Provides that an exempt institution or person continues, rather than would continue, in that status only if the institution or person maintains, rather than so long as it maintained, accreditation by, and is not operating under sanctions imposed by, a recognized accrediting agency or otherwise meets the provisions of Subsection (a). Makes a conforming change. </w:t>
      </w:r>
    </w:p>
    <w:p w:rsidR="000D41F1" w:rsidRDefault="000D41F1" w:rsidP="00783310">
      <w:pPr>
        <w:spacing w:after="0" w:line="240" w:lineRule="auto"/>
        <w:ind w:left="1440"/>
        <w:jc w:val="both"/>
        <w:rPr>
          <w:rFonts w:eastAsia="Times New Roman" w:cs="Times New Roman"/>
          <w:szCs w:val="24"/>
        </w:rPr>
      </w:pPr>
    </w:p>
    <w:p w:rsidR="000D41F1" w:rsidRDefault="000D41F1" w:rsidP="00783310">
      <w:pPr>
        <w:spacing w:after="0" w:line="240" w:lineRule="auto"/>
        <w:ind w:left="1440"/>
        <w:jc w:val="both"/>
        <w:rPr>
          <w:rFonts w:eastAsia="Times New Roman" w:cs="Times New Roman"/>
          <w:szCs w:val="24"/>
        </w:rPr>
      </w:pPr>
      <w:r>
        <w:rPr>
          <w:rFonts w:eastAsia="Times New Roman" w:cs="Times New Roman"/>
          <w:szCs w:val="24"/>
        </w:rPr>
        <w:t>(g) Redesignates existing Subsection (e) as Subsection (g). Requires THECB, by rule, to provide for due process and to provide procedures for revoking or placing conditions on the exemption status of an institution or person or for revoking or placing conditions on a previously issued certificate of authorization.</w:t>
      </w:r>
    </w:p>
    <w:p w:rsidR="000D41F1" w:rsidRDefault="000D41F1" w:rsidP="00783310">
      <w:pPr>
        <w:spacing w:after="0" w:line="240" w:lineRule="auto"/>
        <w:ind w:left="1440"/>
        <w:jc w:val="both"/>
        <w:rPr>
          <w:rFonts w:eastAsia="Times New Roman" w:cs="Times New Roman"/>
          <w:szCs w:val="24"/>
        </w:rPr>
      </w:pPr>
    </w:p>
    <w:p w:rsidR="000D41F1" w:rsidRDefault="000D41F1" w:rsidP="00783310">
      <w:pPr>
        <w:spacing w:after="0" w:line="240" w:lineRule="auto"/>
        <w:ind w:left="1440"/>
        <w:jc w:val="both"/>
        <w:rPr>
          <w:rFonts w:eastAsia="Times New Roman" w:cs="Times New Roman"/>
          <w:szCs w:val="24"/>
        </w:rPr>
      </w:pPr>
      <w:r>
        <w:rPr>
          <w:rFonts w:eastAsia="Times New Roman" w:cs="Times New Roman"/>
          <w:szCs w:val="24"/>
        </w:rPr>
        <w:t xml:space="preserve">(h) Authorizes THECB, under the rules described by Subsection (g), to revoke or place conditions on an institution's or person's exemption status or certificate of authorization only if THECB has reasonable cause to believe that the institution or person has violated this subchapter or any rule adopted under this subchapter. </w:t>
      </w:r>
    </w:p>
    <w:p w:rsidR="000D41F1" w:rsidRDefault="000D41F1" w:rsidP="00783310">
      <w:pPr>
        <w:spacing w:after="0" w:line="240" w:lineRule="auto"/>
        <w:ind w:left="1440"/>
        <w:jc w:val="both"/>
        <w:rPr>
          <w:rFonts w:eastAsia="Times New Roman" w:cs="Times New Roman"/>
          <w:szCs w:val="24"/>
        </w:rPr>
      </w:pPr>
    </w:p>
    <w:p w:rsidR="000D41F1" w:rsidRDefault="000D41F1" w:rsidP="00783310">
      <w:pPr>
        <w:spacing w:after="0" w:line="240" w:lineRule="auto"/>
        <w:ind w:left="1440"/>
        <w:jc w:val="both"/>
        <w:rPr>
          <w:rFonts w:eastAsia="Times New Roman" w:cs="Times New Roman"/>
          <w:szCs w:val="24"/>
        </w:rPr>
      </w:pPr>
      <w:r>
        <w:rPr>
          <w:rFonts w:eastAsia="Times New Roman" w:cs="Times New Roman"/>
          <w:szCs w:val="24"/>
        </w:rPr>
        <w:t>(i) Requires THECB, before revoking or placing conditions on an institution's or person's exemption status or certificate of authorization under Subsection (h), to provide to the institution or person written notice of THECB's impending action and include the grounds for that action.</w:t>
      </w:r>
    </w:p>
    <w:p w:rsidR="000D41F1" w:rsidRDefault="000D41F1" w:rsidP="00783310">
      <w:pPr>
        <w:spacing w:after="0" w:line="240" w:lineRule="auto"/>
        <w:ind w:left="1440"/>
        <w:jc w:val="both"/>
        <w:rPr>
          <w:rFonts w:eastAsia="Times New Roman" w:cs="Times New Roman"/>
          <w:szCs w:val="24"/>
        </w:rPr>
      </w:pPr>
    </w:p>
    <w:p w:rsidR="000D41F1" w:rsidRDefault="000D41F1" w:rsidP="00783310">
      <w:pPr>
        <w:spacing w:after="0" w:line="240" w:lineRule="auto"/>
        <w:ind w:left="1440"/>
        <w:jc w:val="both"/>
        <w:rPr>
          <w:rFonts w:eastAsia="Times New Roman" w:cs="Times New Roman"/>
          <w:szCs w:val="24"/>
        </w:rPr>
      </w:pPr>
      <w:r>
        <w:rPr>
          <w:rFonts w:eastAsia="Times New Roman" w:cs="Times New Roman"/>
          <w:szCs w:val="24"/>
        </w:rPr>
        <w:t>(j) Authorizes THECB, if THECB places conditions on an institution's or person's exemption status or certificate of authorization under Subsection (h), until THECB removes the conditions, to reexamine the applicable institution or person at least twice annually following the date the board provided notice under Subsection (i)</w:t>
      </w:r>
    </w:p>
    <w:p w:rsidR="000D41F1" w:rsidRDefault="000D41F1" w:rsidP="00783310">
      <w:pPr>
        <w:spacing w:after="0" w:line="240" w:lineRule="auto"/>
        <w:ind w:left="1440"/>
        <w:jc w:val="both"/>
        <w:rPr>
          <w:rFonts w:eastAsia="Times New Roman" w:cs="Times New Roman"/>
          <w:szCs w:val="24"/>
        </w:rPr>
      </w:pPr>
    </w:p>
    <w:p w:rsidR="000D41F1" w:rsidRPr="005C2A78" w:rsidRDefault="000D41F1" w:rsidP="00783310">
      <w:pPr>
        <w:spacing w:after="0" w:line="240" w:lineRule="auto"/>
        <w:ind w:left="1440"/>
        <w:jc w:val="both"/>
        <w:rPr>
          <w:rFonts w:eastAsia="Times New Roman" w:cs="Times New Roman"/>
          <w:szCs w:val="24"/>
        </w:rPr>
      </w:pPr>
      <w:r>
        <w:rPr>
          <w:rFonts w:eastAsia="Times New Roman" w:cs="Times New Roman"/>
          <w:szCs w:val="24"/>
        </w:rPr>
        <w:t xml:space="preserve">(k) Redesignates existing Subsection (f) as Subsection (k) and makes no further changes to this subsection. </w:t>
      </w:r>
    </w:p>
    <w:p w:rsidR="000D41F1" w:rsidRPr="005C2A78" w:rsidRDefault="000D41F1" w:rsidP="000F1DF9">
      <w:pPr>
        <w:spacing w:after="0" w:line="240" w:lineRule="auto"/>
        <w:jc w:val="both"/>
        <w:rPr>
          <w:rFonts w:eastAsia="Times New Roman" w:cs="Times New Roman"/>
          <w:szCs w:val="24"/>
        </w:rPr>
      </w:pPr>
    </w:p>
    <w:p w:rsidR="000D41F1" w:rsidRDefault="000D41F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G, Chapter 61, Education Code, by adding Section 61.3075, as follows:</w:t>
      </w:r>
    </w:p>
    <w:p w:rsidR="000D41F1" w:rsidRDefault="000D41F1" w:rsidP="000F1DF9">
      <w:pPr>
        <w:spacing w:after="0" w:line="240" w:lineRule="auto"/>
        <w:jc w:val="both"/>
        <w:rPr>
          <w:rFonts w:eastAsia="Times New Roman" w:cs="Times New Roman"/>
          <w:szCs w:val="24"/>
        </w:rPr>
      </w:pPr>
    </w:p>
    <w:p w:rsidR="000D41F1" w:rsidRDefault="000D41F1" w:rsidP="00783310">
      <w:pPr>
        <w:spacing w:after="0" w:line="240" w:lineRule="auto"/>
        <w:ind w:left="720"/>
        <w:jc w:val="both"/>
        <w:rPr>
          <w:rFonts w:eastAsia="Times New Roman" w:cs="Times New Roman"/>
          <w:szCs w:val="24"/>
        </w:rPr>
      </w:pPr>
      <w:r>
        <w:rPr>
          <w:rFonts w:eastAsia="Times New Roman" w:cs="Times New Roman"/>
          <w:szCs w:val="24"/>
        </w:rPr>
        <w:t>Sec. 61.3075. REQUIRED FINANCIAL RESOURCES. Authorizes THECB by rule to require an institution operating under a certificate of authority, or seeking to operate under a certificate of authority, to ensure that the financial resources and financial stability of the institution are adequate to provide education of a good quality and to fulfill the institution's commitments to its enrolled students and to require the institution to provide THECB documentation of the institution's compliance with those requirements. Requires that rules adopted under this subsection:</w:t>
      </w:r>
    </w:p>
    <w:p w:rsidR="000D41F1" w:rsidRDefault="000D41F1" w:rsidP="00783310">
      <w:pPr>
        <w:spacing w:after="0" w:line="240" w:lineRule="auto"/>
        <w:ind w:left="720"/>
        <w:jc w:val="both"/>
        <w:rPr>
          <w:rFonts w:eastAsia="Times New Roman" w:cs="Times New Roman"/>
          <w:szCs w:val="24"/>
        </w:rPr>
      </w:pPr>
    </w:p>
    <w:p w:rsidR="000D41F1" w:rsidRDefault="000D41F1" w:rsidP="00783310">
      <w:pPr>
        <w:spacing w:after="0" w:line="240" w:lineRule="auto"/>
        <w:ind w:left="1440"/>
        <w:jc w:val="both"/>
        <w:rPr>
          <w:rFonts w:eastAsia="Times New Roman" w:cs="Times New Roman"/>
          <w:szCs w:val="24"/>
        </w:rPr>
      </w:pPr>
      <w:r>
        <w:rPr>
          <w:rFonts w:eastAsia="Times New Roman" w:cs="Times New Roman"/>
          <w:szCs w:val="24"/>
        </w:rPr>
        <w:t>(1) require the institution to maintain reserves, lines of credit, or surety instruments that, when combined with tuition and fee receipts, are sufficient to allow the institution to fulfill its educational obligations to its enrolled students if the institution is unable to continue to provide instruction to its enrolled students for any reason; and</w:t>
      </w:r>
    </w:p>
    <w:p w:rsidR="000D41F1" w:rsidRDefault="000D41F1" w:rsidP="00783310">
      <w:pPr>
        <w:spacing w:after="0" w:line="240" w:lineRule="auto"/>
        <w:ind w:left="1440"/>
        <w:jc w:val="both"/>
        <w:rPr>
          <w:rFonts w:eastAsia="Times New Roman" w:cs="Times New Roman"/>
          <w:szCs w:val="24"/>
        </w:rPr>
      </w:pPr>
    </w:p>
    <w:p w:rsidR="000D41F1" w:rsidRDefault="000D41F1" w:rsidP="00783310">
      <w:pPr>
        <w:spacing w:after="0" w:line="240" w:lineRule="auto"/>
        <w:ind w:left="1440"/>
        <w:jc w:val="both"/>
        <w:rPr>
          <w:rFonts w:eastAsia="Times New Roman" w:cs="Times New Roman"/>
          <w:szCs w:val="24"/>
        </w:rPr>
      </w:pPr>
      <w:r>
        <w:rPr>
          <w:rFonts w:eastAsia="Times New Roman" w:cs="Times New Roman"/>
          <w:szCs w:val="24"/>
        </w:rPr>
        <w:t>(2) require that the financial resources maintained under Subdivision (1) be conditioned to allow only THECB to withdraw funds for the benefit of the institution's enrolled students under the circumstance described by Subdivision (1).</w:t>
      </w:r>
    </w:p>
    <w:p w:rsidR="000D41F1" w:rsidRDefault="000D41F1" w:rsidP="00783310">
      <w:pPr>
        <w:spacing w:after="0" w:line="240" w:lineRule="auto"/>
        <w:jc w:val="both"/>
        <w:rPr>
          <w:rFonts w:eastAsia="Times New Roman" w:cs="Times New Roman"/>
          <w:szCs w:val="24"/>
        </w:rPr>
      </w:pPr>
    </w:p>
    <w:p w:rsidR="000D41F1" w:rsidRDefault="000D41F1" w:rsidP="00783310">
      <w:pPr>
        <w:spacing w:after="0" w:line="240" w:lineRule="auto"/>
        <w:jc w:val="both"/>
        <w:rPr>
          <w:rFonts w:eastAsia="Times New Roman" w:cs="Times New Roman"/>
          <w:szCs w:val="24"/>
        </w:rPr>
      </w:pPr>
      <w:r>
        <w:rPr>
          <w:rFonts w:eastAsia="Times New Roman" w:cs="Times New Roman"/>
          <w:szCs w:val="24"/>
        </w:rPr>
        <w:t>SECTION 4. Amends Section 61.315, Education Code, as follows:</w:t>
      </w:r>
    </w:p>
    <w:p w:rsidR="000D41F1" w:rsidRDefault="000D41F1" w:rsidP="00783310">
      <w:pPr>
        <w:spacing w:after="0" w:line="240" w:lineRule="auto"/>
        <w:jc w:val="both"/>
        <w:rPr>
          <w:rFonts w:eastAsia="Times New Roman" w:cs="Times New Roman"/>
          <w:szCs w:val="24"/>
        </w:rPr>
      </w:pPr>
    </w:p>
    <w:p w:rsidR="000D41F1" w:rsidRDefault="000D41F1" w:rsidP="00783310">
      <w:pPr>
        <w:spacing w:after="0" w:line="240" w:lineRule="auto"/>
        <w:ind w:left="720"/>
        <w:jc w:val="both"/>
        <w:rPr>
          <w:rFonts w:eastAsia="Times New Roman" w:cs="Times New Roman"/>
          <w:szCs w:val="24"/>
        </w:rPr>
      </w:pPr>
      <w:r>
        <w:rPr>
          <w:rFonts w:eastAsia="Times New Roman" w:cs="Times New Roman"/>
          <w:szCs w:val="24"/>
        </w:rPr>
        <w:t xml:space="preserve">Sec. 61.315. New heading: AGENTS AND RECORDS;  ACADEMIC RECORDS REPOSITORY. (a) Creates this subsection from existing text. Authorizes the authorized or certified institutions to be required to provide a list of their agents to THECB, and to maintain in a manner specified by THECB the academic records of enrolled or former students, rather than students enrolled, including records of credits and degrees awarded, rather than of credits awarded, and provide those records to THECB on request. Makes nonsubstantive changes. </w:t>
      </w:r>
    </w:p>
    <w:p w:rsidR="000D41F1" w:rsidRDefault="000D41F1" w:rsidP="00783310">
      <w:pPr>
        <w:spacing w:after="0" w:line="240" w:lineRule="auto"/>
        <w:ind w:left="720"/>
        <w:jc w:val="both"/>
        <w:rPr>
          <w:rFonts w:eastAsia="Times New Roman" w:cs="Times New Roman"/>
          <w:szCs w:val="24"/>
        </w:rPr>
      </w:pPr>
    </w:p>
    <w:p w:rsidR="000D41F1" w:rsidRDefault="000D41F1" w:rsidP="00783310">
      <w:pPr>
        <w:spacing w:after="0" w:line="240" w:lineRule="auto"/>
        <w:ind w:left="1440"/>
        <w:jc w:val="both"/>
        <w:rPr>
          <w:rFonts w:eastAsia="Times New Roman" w:cs="Times New Roman"/>
          <w:szCs w:val="24"/>
        </w:rPr>
      </w:pPr>
      <w:r>
        <w:rPr>
          <w:rFonts w:eastAsia="Times New Roman" w:cs="Times New Roman"/>
          <w:szCs w:val="24"/>
        </w:rPr>
        <w:t>(b) Authorizes THECB to maintain a repository for academic records from closed institutions that were exempt or were authorized to operate under a certificate of authorization or certificate of authority. Authorizes THECB to discontinue its maintenance of the repository if adequate funding is not provided for that maintenance. Provides that the academic records repository is considered to be a repository of last resort. Requires a system or corporation, if a closed institution is part of a larger educational system or corporation, to maintain the academic records. Requires the institution responsible for accepting the transferring students, if students of the closed institution transfer to another institution through an agreement between the institutions to continue the students' degree  programs, to maintain those academic records.</w:t>
      </w:r>
    </w:p>
    <w:p w:rsidR="000D41F1" w:rsidRDefault="000D41F1" w:rsidP="00783310">
      <w:pPr>
        <w:spacing w:after="0" w:line="240" w:lineRule="auto"/>
        <w:jc w:val="both"/>
        <w:rPr>
          <w:rFonts w:eastAsia="Times New Roman" w:cs="Times New Roman"/>
          <w:szCs w:val="24"/>
        </w:rPr>
      </w:pPr>
    </w:p>
    <w:p w:rsidR="000D41F1" w:rsidRDefault="000D41F1" w:rsidP="00783310">
      <w:pPr>
        <w:spacing w:after="0" w:line="240" w:lineRule="auto"/>
        <w:jc w:val="both"/>
        <w:rPr>
          <w:rFonts w:eastAsia="Times New Roman" w:cs="Times New Roman"/>
          <w:szCs w:val="24"/>
        </w:rPr>
      </w:pPr>
      <w:r>
        <w:rPr>
          <w:rFonts w:eastAsia="Times New Roman" w:cs="Times New Roman"/>
          <w:szCs w:val="24"/>
        </w:rPr>
        <w:t>SECTION 5. Amends Section 61.316, Education Code, by adding Subsection (e-1), as follows:</w:t>
      </w:r>
    </w:p>
    <w:p w:rsidR="000D41F1" w:rsidRDefault="000D41F1" w:rsidP="00783310">
      <w:pPr>
        <w:spacing w:after="0" w:line="240" w:lineRule="auto"/>
        <w:jc w:val="both"/>
        <w:rPr>
          <w:rFonts w:eastAsia="Times New Roman" w:cs="Times New Roman"/>
          <w:szCs w:val="24"/>
        </w:rPr>
      </w:pPr>
    </w:p>
    <w:p w:rsidR="000D41F1" w:rsidRDefault="000D41F1" w:rsidP="00783310">
      <w:pPr>
        <w:spacing w:after="0" w:line="240" w:lineRule="auto"/>
        <w:ind w:left="720"/>
        <w:jc w:val="both"/>
        <w:rPr>
          <w:rFonts w:eastAsia="Times New Roman" w:cs="Times New Roman"/>
          <w:szCs w:val="24"/>
        </w:rPr>
      </w:pPr>
      <w:r>
        <w:rPr>
          <w:rFonts w:eastAsia="Times New Roman" w:cs="Times New Roman"/>
          <w:szCs w:val="24"/>
        </w:rPr>
        <w:t xml:space="preserve">(e-1) Requires that any authorized or certified institution that fails to maintain in a manner specified by THECB the academic records of enrolled or former students, including records of credits and degrees awarded, or that fails to protect the personally identifiable information of enrolled or former students be assessed an administrative penalty of not less than $100 or more than $500 for each student whose academic record was not maintained or whose personally identifiable information was not protected. </w:t>
      </w:r>
    </w:p>
    <w:p w:rsidR="000D41F1" w:rsidRDefault="000D41F1" w:rsidP="00783310">
      <w:pPr>
        <w:spacing w:after="0" w:line="240" w:lineRule="auto"/>
        <w:jc w:val="both"/>
        <w:rPr>
          <w:rFonts w:eastAsia="Times New Roman" w:cs="Times New Roman"/>
          <w:szCs w:val="24"/>
        </w:rPr>
      </w:pPr>
    </w:p>
    <w:p w:rsidR="000D41F1" w:rsidRDefault="000D41F1" w:rsidP="00783310">
      <w:pPr>
        <w:spacing w:after="0" w:line="240" w:lineRule="auto"/>
        <w:jc w:val="both"/>
        <w:rPr>
          <w:rFonts w:eastAsia="Times New Roman" w:cs="Times New Roman"/>
          <w:szCs w:val="24"/>
        </w:rPr>
      </w:pPr>
      <w:r>
        <w:rPr>
          <w:rFonts w:eastAsia="Times New Roman" w:cs="Times New Roman"/>
          <w:szCs w:val="24"/>
        </w:rPr>
        <w:t xml:space="preserve">SECTION 6. Amends Subchapter S, Chapter 61, Education Code, by adding Section 61.835, as follows: </w:t>
      </w:r>
    </w:p>
    <w:p w:rsidR="000D41F1" w:rsidRDefault="000D41F1" w:rsidP="00783310">
      <w:pPr>
        <w:spacing w:after="0" w:line="240" w:lineRule="auto"/>
        <w:jc w:val="both"/>
        <w:rPr>
          <w:rFonts w:eastAsia="Times New Roman" w:cs="Times New Roman"/>
          <w:szCs w:val="24"/>
        </w:rPr>
      </w:pPr>
    </w:p>
    <w:p w:rsidR="000D41F1" w:rsidRDefault="000D41F1" w:rsidP="00EB352B">
      <w:pPr>
        <w:spacing w:after="0" w:line="240" w:lineRule="auto"/>
        <w:ind w:left="720"/>
        <w:jc w:val="both"/>
        <w:rPr>
          <w:rFonts w:eastAsia="Times New Roman" w:cs="Times New Roman"/>
          <w:szCs w:val="24"/>
        </w:rPr>
      </w:pPr>
      <w:r>
        <w:rPr>
          <w:rFonts w:eastAsia="Times New Roman" w:cs="Times New Roman"/>
          <w:szCs w:val="24"/>
        </w:rPr>
        <w:t xml:space="preserve">Sec. 61.835. TRANSFERABLE COLLEGE CREDIT FOR HEROES CURRICULA. (a) Requires THECB, in consultation with the Texas Workforce Commission, the Texas Veterans Commission, and institutions of higher education (IHEs), in order to promote the purposes of the College Credit for Heroes program established under Section 302.0031 (College Credit for Heroes Program), Labor Code, to: </w:t>
      </w:r>
    </w:p>
    <w:p w:rsidR="000D41F1" w:rsidRDefault="000D41F1" w:rsidP="00EB352B">
      <w:pPr>
        <w:spacing w:after="0" w:line="240" w:lineRule="auto"/>
        <w:ind w:left="720"/>
        <w:jc w:val="both"/>
        <w:rPr>
          <w:rFonts w:eastAsia="Times New Roman" w:cs="Times New Roman"/>
          <w:szCs w:val="24"/>
        </w:rPr>
      </w:pPr>
    </w:p>
    <w:p w:rsidR="000D41F1" w:rsidRDefault="000D41F1" w:rsidP="00EB352B">
      <w:pPr>
        <w:spacing w:after="0" w:line="240" w:lineRule="auto"/>
        <w:ind w:left="2160"/>
        <w:jc w:val="both"/>
        <w:rPr>
          <w:rFonts w:eastAsia="Times New Roman" w:cs="Times New Roman"/>
          <w:szCs w:val="24"/>
        </w:rPr>
      </w:pPr>
      <w:r>
        <w:rPr>
          <w:rFonts w:eastAsia="Times New Roman" w:cs="Times New Roman"/>
          <w:szCs w:val="24"/>
        </w:rPr>
        <w:t xml:space="preserve">(1) develop standardized curricula within degree and certificate programs commonly offered by IHEs toward which qualified veterans or military service members are authorized to be awarded appropriate academic credit for experience, education, and training earned during military service; and </w:t>
      </w:r>
    </w:p>
    <w:p w:rsidR="000D41F1" w:rsidRDefault="000D41F1" w:rsidP="00EB352B">
      <w:pPr>
        <w:spacing w:after="0" w:line="240" w:lineRule="auto"/>
        <w:ind w:left="2160"/>
        <w:jc w:val="both"/>
        <w:rPr>
          <w:rFonts w:eastAsia="Times New Roman" w:cs="Times New Roman"/>
          <w:szCs w:val="24"/>
        </w:rPr>
      </w:pPr>
    </w:p>
    <w:p w:rsidR="000D41F1" w:rsidRDefault="000D41F1" w:rsidP="00EB352B">
      <w:pPr>
        <w:spacing w:after="0" w:line="240" w:lineRule="auto"/>
        <w:ind w:left="2160"/>
        <w:jc w:val="both"/>
        <w:rPr>
          <w:rFonts w:eastAsia="Times New Roman" w:cs="Times New Roman"/>
          <w:szCs w:val="24"/>
        </w:rPr>
      </w:pPr>
      <w:r>
        <w:rPr>
          <w:rFonts w:eastAsia="Times New Roman" w:cs="Times New Roman"/>
          <w:szCs w:val="24"/>
        </w:rPr>
        <w:t xml:space="preserve">(2) require the transferability between IHEs of course credit for curricula developed under this section that is awarded to qualified veterans or military service members. </w:t>
      </w:r>
    </w:p>
    <w:p w:rsidR="000D41F1" w:rsidRDefault="000D41F1" w:rsidP="00EB352B">
      <w:pPr>
        <w:spacing w:after="0" w:line="240" w:lineRule="auto"/>
        <w:ind w:left="2160"/>
        <w:jc w:val="both"/>
        <w:rPr>
          <w:rFonts w:eastAsia="Times New Roman" w:cs="Times New Roman"/>
          <w:szCs w:val="24"/>
        </w:rPr>
      </w:pPr>
    </w:p>
    <w:p w:rsidR="000D41F1" w:rsidRDefault="000D41F1" w:rsidP="00EB352B">
      <w:pPr>
        <w:spacing w:after="0" w:line="240" w:lineRule="auto"/>
        <w:ind w:left="1440"/>
        <w:jc w:val="both"/>
        <w:rPr>
          <w:rFonts w:eastAsia="Times New Roman" w:cs="Times New Roman"/>
          <w:szCs w:val="24"/>
        </w:rPr>
      </w:pPr>
      <w:r>
        <w:rPr>
          <w:rFonts w:eastAsia="Times New Roman" w:cs="Times New Roman"/>
          <w:szCs w:val="24"/>
        </w:rPr>
        <w:t xml:space="preserve">(b) Requires THECB to adopt rules for the administration of this section. </w:t>
      </w:r>
    </w:p>
    <w:p w:rsidR="000D41F1" w:rsidRDefault="000D41F1" w:rsidP="00EB352B">
      <w:pPr>
        <w:spacing w:after="0" w:line="240" w:lineRule="auto"/>
        <w:ind w:left="720"/>
        <w:jc w:val="both"/>
        <w:rPr>
          <w:rFonts w:eastAsia="Times New Roman" w:cs="Times New Roman"/>
          <w:szCs w:val="24"/>
        </w:rPr>
      </w:pPr>
    </w:p>
    <w:p w:rsidR="000D41F1" w:rsidRDefault="000D41F1" w:rsidP="00783310">
      <w:pPr>
        <w:spacing w:after="0" w:line="240" w:lineRule="auto"/>
        <w:jc w:val="both"/>
        <w:rPr>
          <w:rFonts w:eastAsia="Times New Roman" w:cs="Times New Roman"/>
          <w:szCs w:val="24"/>
        </w:rPr>
      </w:pPr>
      <w:r>
        <w:rPr>
          <w:rFonts w:eastAsia="Times New Roman" w:cs="Times New Roman"/>
          <w:szCs w:val="24"/>
        </w:rPr>
        <w:t xml:space="preserve">SECTION 7. Requires THECB to adopt the rules required by Subchapter G, Chapter 61, Education Code, as amended by this Act, as soon as practicable after the effective date of this Act. </w:t>
      </w:r>
    </w:p>
    <w:p w:rsidR="000D41F1" w:rsidRDefault="000D41F1" w:rsidP="00783310">
      <w:pPr>
        <w:spacing w:after="0" w:line="240" w:lineRule="auto"/>
        <w:jc w:val="both"/>
        <w:rPr>
          <w:rFonts w:eastAsia="Times New Roman" w:cs="Times New Roman"/>
          <w:szCs w:val="24"/>
        </w:rPr>
      </w:pPr>
    </w:p>
    <w:p w:rsidR="000D41F1" w:rsidRDefault="000D41F1" w:rsidP="00783310">
      <w:pPr>
        <w:spacing w:after="0" w:line="240" w:lineRule="auto"/>
        <w:jc w:val="both"/>
        <w:rPr>
          <w:rFonts w:eastAsia="Times New Roman" w:cs="Times New Roman"/>
          <w:szCs w:val="24"/>
        </w:rPr>
      </w:pPr>
      <w:r>
        <w:rPr>
          <w:rFonts w:eastAsia="Times New Roman" w:cs="Times New Roman"/>
          <w:szCs w:val="24"/>
        </w:rPr>
        <w:t xml:space="preserve">SECTION 8. Requires THECB to adopt the initial rules required by Section 61.835, Education Code, as added by this Act, not later than May 1, 2018. </w:t>
      </w:r>
    </w:p>
    <w:p w:rsidR="000D41F1" w:rsidRDefault="000D41F1" w:rsidP="00783310">
      <w:pPr>
        <w:spacing w:after="0" w:line="240" w:lineRule="auto"/>
        <w:jc w:val="both"/>
        <w:rPr>
          <w:rFonts w:eastAsia="Times New Roman" w:cs="Times New Roman"/>
          <w:szCs w:val="24"/>
        </w:rPr>
      </w:pPr>
    </w:p>
    <w:p w:rsidR="000D41F1" w:rsidRDefault="000D41F1" w:rsidP="00783310">
      <w:pPr>
        <w:spacing w:after="0" w:line="240" w:lineRule="auto"/>
        <w:jc w:val="both"/>
        <w:rPr>
          <w:rFonts w:eastAsia="Times New Roman" w:cs="Times New Roman"/>
          <w:szCs w:val="24"/>
        </w:rPr>
      </w:pPr>
      <w:r>
        <w:rPr>
          <w:rFonts w:eastAsia="Times New Roman" w:cs="Times New Roman"/>
          <w:szCs w:val="24"/>
        </w:rPr>
        <w:t>SECTION 9. Provides that this Act takes effect only if a specific appropriation for the implementation of the Act is provided in a general appropriations act of the 85th Legislature.</w:t>
      </w:r>
    </w:p>
    <w:p w:rsidR="000D41F1" w:rsidRDefault="000D41F1" w:rsidP="00783310">
      <w:pPr>
        <w:spacing w:after="0" w:line="240" w:lineRule="auto"/>
        <w:jc w:val="both"/>
        <w:rPr>
          <w:rFonts w:eastAsia="Times New Roman" w:cs="Times New Roman"/>
          <w:szCs w:val="24"/>
        </w:rPr>
      </w:pPr>
    </w:p>
    <w:p w:rsidR="000D41F1" w:rsidRPr="005C2A78" w:rsidRDefault="000D41F1" w:rsidP="00783310">
      <w:pPr>
        <w:spacing w:after="0" w:line="240" w:lineRule="auto"/>
        <w:jc w:val="both"/>
        <w:rPr>
          <w:rFonts w:eastAsia="Times New Roman" w:cs="Times New Roman"/>
          <w:szCs w:val="24"/>
        </w:rPr>
      </w:pPr>
      <w:r>
        <w:rPr>
          <w:rFonts w:eastAsia="Times New Roman" w:cs="Times New Roman"/>
          <w:szCs w:val="24"/>
        </w:rPr>
        <w:t>SECTION 10. Effective date: September 1, 2017.</w:t>
      </w:r>
    </w:p>
    <w:p w:rsidR="000D41F1" w:rsidRDefault="000D41F1" w:rsidP="00774EC7">
      <w:pPr>
        <w:spacing w:after="0" w:line="240" w:lineRule="auto"/>
        <w:jc w:val="both"/>
        <w:rPr>
          <w:rFonts w:cs="Times New Roman"/>
          <w:szCs w:val="24"/>
        </w:rPr>
      </w:pPr>
    </w:p>
    <w:sectPr w:rsidR="000D41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2B" w:rsidRDefault="0037672B" w:rsidP="000F1DF9">
      <w:pPr>
        <w:spacing w:after="0" w:line="240" w:lineRule="auto"/>
      </w:pPr>
      <w:r>
        <w:separator/>
      </w:r>
    </w:p>
  </w:endnote>
  <w:endnote w:type="continuationSeparator" w:id="0">
    <w:p w:rsidR="0037672B" w:rsidRDefault="003767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67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41F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41F1">
                <w:rPr>
                  <w:sz w:val="20"/>
                  <w:szCs w:val="20"/>
                </w:rPr>
                <w:t>S.B. 1781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41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67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41F1">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41F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2B" w:rsidRDefault="0037672B" w:rsidP="000F1DF9">
      <w:pPr>
        <w:spacing w:after="0" w:line="240" w:lineRule="auto"/>
      </w:pPr>
      <w:r>
        <w:separator/>
      </w:r>
    </w:p>
  </w:footnote>
  <w:footnote w:type="continuationSeparator" w:id="0">
    <w:p w:rsidR="0037672B" w:rsidRDefault="003767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41F1"/>
    <w:rsid w:val="000E552E"/>
    <w:rsid w:val="000F1DF9"/>
    <w:rsid w:val="002355A9"/>
    <w:rsid w:val="00257C49"/>
    <w:rsid w:val="00305C27"/>
    <w:rsid w:val="00330BDA"/>
    <w:rsid w:val="0034346C"/>
    <w:rsid w:val="0037672B"/>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41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41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2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2FC8" w:rsidP="00C32FC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CEE1F5E94145ED82EA38BA21BFEA7B"/>
        <w:category>
          <w:name w:val="General"/>
          <w:gallery w:val="placeholder"/>
        </w:category>
        <w:types>
          <w:type w:val="bbPlcHdr"/>
        </w:types>
        <w:behaviors>
          <w:behavior w:val="content"/>
        </w:behaviors>
        <w:guid w:val="{8B618167-4B46-4EFC-AE6E-B95406E2E6B4}"/>
      </w:docPartPr>
      <w:docPartBody>
        <w:p w:rsidR="00000000" w:rsidRDefault="001C6F16"/>
      </w:docPartBody>
    </w:docPart>
    <w:docPart>
      <w:docPartPr>
        <w:name w:val="34D294763DC34C8BB748D3F420352173"/>
        <w:category>
          <w:name w:val="General"/>
          <w:gallery w:val="placeholder"/>
        </w:category>
        <w:types>
          <w:type w:val="bbPlcHdr"/>
        </w:types>
        <w:behaviors>
          <w:behavior w:val="content"/>
        </w:behaviors>
        <w:guid w:val="{414C0E6A-F8B0-4B96-8B31-BE109AE74AB1}"/>
      </w:docPartPr>
      <w:docPartBody>
        <w:p w:rsidR="00000000" w:rsidRDefault="001C6F16"/>
      </w:docPartBody>
    </w:docPart>
    <w:docPart>
      <w:docPartPr>
        <w:name w:val="DFC0A373C92045E99169DE08C1A46576"/>
        <w:category>
          <w:name w:val="General"/>
          <w:gallery w:val="placeholder"/>
        </w:category>
        <w:types>
          <w:type w:val="bbPlcHdr"/>
        </w:types>
        <w:behaviors>
          <w:behavior w:val="content"/>
        </w:behaviors>
        <w:guid w:val="{48A9EAED-7BC8-4E7C-8BC0-BEDA3E162EFC}"/>
      </w:docPartPr>
      <w:docPartBody>
        <w:p w:rsidR="00000000" w:rsidRDefault="001C6F16"/>
      </w:docPartBody>
    </w:docPart>
    <w:docPart>
      <w:docPartPr>
        <w:name w:val="98E92DA966D8410193D5F3667703425A"/>
        <w:category>
          <w:name w:val="General"/>
          <w:gallery w:val="placeholder"/>
        </w:category>
        <w:types>
          <w:type w:val="bbPlcHdr"/>
        </w:types>
        <w:behaviors>
          <w:behavior w:val="content"/>
        </w:behaviors>
        <w:guid w:val="{AFEBDC75-D9AC-462F-AA2A-EAF837EA09BF}"/>
      </w:docPartPr>
      <w:docPartBody>
        <w:p w:rsidR="00000000" w:rsidRDefault="001C6F16"/>
      </w:docPartBody>
    </w:docPart>
    <w:docPart>
      <w:docPartPr>
        <w:name w:val="388363273637468BB8210F0EEF528B59"/>
        <w:category>
          <w:name w:val="General"/>
          <w:gallery w:val="placeholder"/>
        </w:category>
        <w:types>
          <w:type w:val="bbPlcHdr"/>
        </w:types>
        <w:behaviors>
          <w:behavior w:val="content"/>
        </w:behaviors>
        <w:guid w:val="{7BCCD64F-8B2F-44D2-94D8-7A08D353A71E}"/>
      </w:docPartPr>
      <w:docPartBody>
        <w:p w:rsidR="00000000" w:rsidRDefault="001C6F16"/>
      </w:docPartBody>
    </w:docPart>
    <w:docPart>
      <w:docPartPr>
        <w:name w:val="81AD0B8B788E4F6BAC66299C2FAC6006"/>
        <w:category>
          <w:name w:val="General"/>
          <w:gallery w:val="placeholder"/>
        </w:category>
        <w:types>
          <w:type w:val="bbPlcHdr"/>
        </w:types>
        <w:behaviors>
          <w:behavior w:val="content"/>
        </w:behaviors>
        <w:guid w:val="{801B15CD-6652-43F7-A34B-25594A30B67F}"/>
      </w:docPartPr>
      <w:docPartBody>
        <w:p w:rsidR="00000000" w:rsidRDefault="001C6F16"/>
      </w:docPartBody>
    </w:docPart>
    <w:docPart>
      <w:docPartPr>
        <w:name w:val="4CA6839BF03E425F98CA6B834B2D944C"/>
        <w:category>
          <w:name w:val="General"/>
          <w:gallery w:val="placeholder"/>
        </w:category>
        <w:types>
          <w:type w:val="bbPlcHdr"/>
        </w:types>
        <w:behaviors>
          <w:behavior w:val="content"/>
        </w:behaviors>
        <w:guid w:val="{4181F439-B219-4FFB-897E-8FBC7D9F4CE1}"/>
      </w:docPartPr>
      <w:docPartBody>
        <w:p w:rsidR="00000000" w:rsidRDefault="001C6F16"/>
      </w:docPartBody>
    </w:docPart>
    <w:docPart>
      <w:docPartPr>
        <w:name w:val="8A5F6BAF50FE4BD1913CFA72B8540DB6"/>
        <w:category>
          <w:name w:val="General"/>
          <w:gallery w:val="placeholder"/>
        </w:category>
        <w:types>
          <w:type w:val="bbPlcHdr"/>
        </w:types>
        <w:behaviors>
          <w:behavior w:val="content"/>
        </w:behaviors>
        <w:guid w:val="{3F9B55B4-5B7E-4725-9E0D-4938CD6ACDE6}"/>
      </w:docPartPr>
      <w:docPartBody>
        <w:p w:rsidR="00000000" w:rsidRDefault="001C6F16"/>
      </w:docPartBody>
    </w:docPart>
    <w:docPart>
      <w:docPartPr>
        <w:name w:val="E04A504E291643A893C57FFA01CAD990"/>
        <w:category>
          <w:name w:val="General"/>
          <w:gallery w:val="placeholder"/>
        </w:category>
        <w:types>
          <w:type w:val="bbPlcHdr"/>
        </w:types>
        <w:behaviors>
          <w:behavior w:val="content"/>
        </w:behaviors>
        <w:guid w:val="{6B9A2E14-7F22-4A81-B225-549D4F089EB6}"/>
      </w:docPartPr>
      <w:docPartBody>
        <w:p w:rsidR="00000000" w:rsidRDefault="00C32FC8" w:rsidP="00C32FC8">
          <w:pPr>
            <w:pStyle w:val="E04A504E291643A893C57FFA01CAD990"/>
          </w:pPr>
          <w:r w:rsidRPr="00A30DD1">
            <w:rPr>
              <w:rStyle w:val="PlaceholderText"/>
            </w:rPr>
            <w:t>Click here to enter a date.</w:t>
          </w:r>
        </w:p>
      </w:docPartBody>
    </w:docPart>
    <w:docPart>
      <w:docPartPr>
        <w:name w:val="F9F4170EA69B413E843967004B42753F"/>
        <w:category>
          <w:name w:val="General"/>
          <w:gallery w:val="placeholder"/>
        </w:category>
        <w:types>
          <w:type w:val="bbPlcHdr"/>
        </w:types>
        <w:behaviors>
          <w:behavior w:val="content"/>
        </w:behaviors>
        <w:guid w:val="{1D2FF425-87A5-49A4-A111-408B4DF5BF74}"/>
      </w:docPartPr>
      <w:docPartBody>
        <w:p w:rsidR="00000000" w:rsidRDefault="001C6F16"/>
      </w:docPartBody>
    </w:docPart>
    <w:docPart>
      <w:docPartPr>
        <w:name w:val="BF85EC06DC8C49D789ED16B4F82D9655"/>
        <w:category>
          <w:name w:val="General"/>
          <w:gallery w:val="placeholder"/>
        </w:category>
        <w:types>
          <w:type w:val="bbPlcHdr"/>
        </w:types>
        <w:behaviors>
          <w:behavior w:val="content"/>
        </w:behaviors>
        <w:guid w:val="{B2B87C74-EE65-4BFB-A1B4-779474F3173F}"/>
      </w:docPartPr>
      <w:docPartBody>
        <w:p w:rsidR="00000000" w:rsidRDefault="001C6F16"/>
      </w:docPartBody>
    </w:docPart>
    <w:docPart>
      <w:docPartPr>
        <w:name w:val="A3081B662C0943B5B176CBC0654DBC5A"/>
        <w:category>
          <w:name w:val="General"/>
          <w:gallery w:val="placeholder"/>
        </w:category>
        <w:types>
          <w:type w:val="bbPlcHdr"/>
        </w:types>
        <w:behaviors>
          <w:behavior w:val="content"/>
        </w:behaviors>
        <w:guid w:val="{A6EF6113-C7F0-4932-BD2F-CD0CDBD38619}"/>
      </w:docPartPr>
      <w:docPartBody>
        <w:p w:rsidR="00000000" w:rsidRDefault="00C32FC8" w:rsidP="00C32FC8">
          <w:pPr>
            <w:pStyle w:val="A3081B662C0943B5B176CBC0654DBC5A"/>
          </w:pPr>
          <w:r>
            <w:rPr>
              <w:rFonts w:eastAsia="Times New Roman" w:cs="Times New Roman"/>
              <w:bCs/>
              <w:szCs w:val="24"/>
            </w:rPr>
            <w:t xml:space="preserve"> </w:t>
          </w:r>
        </w:p>
      </w:docPartBody>
    </w:docPart>
    <w:docPart>
      <w:docPartPr>
        <w:name w:val="95EABBA3D5EF48879C105BB7A7195E8F"/>
        <w:category>
          <w:name w:val="General"/>
          <w:gallery w:val="placeholder"/>
        </w:category>
        <w:types>
          <w:type w:val="bbPlcHdr"/>
        </w:types>
        <w:behaviors>
          <w:behavior w:val="content"/>
        </w:behaviors>
        <w:guid w:val="{E2EEB72D-324D-4DFA-A2AA-9CC74CCE9BFE}"/>
      </w:docPartPr>
      <w:docPartBody>
        <w:p w:rsidR="00000000" w:rsidRDefault="001C6F16"/>
      </w:docPartBody>
    </w:docPart>
    <w:docPart>
      <w:docPartPr>
        <w:name w:val="77742954B86A4ED5982737DDDB039D0A"/>
        <w:category>
          <w:name w:val="General"/>
          <w:gallery w:val="placeholder"/>
        </w:category>
        <w:types>
          <w:type w:val="bbPlcHdr"/>
        </w:types>
        <w:behaviors>
          <w:behavior w:val="content"/>
        </w:behaviors>
        <w:guid w:val="{5EC4DB9F-7598-4EDD-8497-32A6B742D0EF}"/>
      </w:docPartPr>
      <w:docPartBody>
        <w:p w:rsidR="00000000" w:rsidRDefault="001C6F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C6F1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2FC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F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2FC8"/>
    <w:rPr>
      <w:rFonts w:ascii="Times New Roman" w:hAnsi="Times New Roman"/>
      <w:sz w:val="24"/>
    </w:rPr>
  </w:style>
  <w:style w:type="paragraph" w:customStyle="1" w:styleId="487D89B4F8B34DB4967D41FE18F7F88D7">
    <w:name w:val="487D89B4F8B34DB4967D41FE18F7F88D7"/>
    <w:rsid w:val="00C32FC8"/>
    <w:rPr>
      <w:rFonts w:ascii="Times New Roman" w:hAnsi="Times New Roman"/>
      <w:sz w:val="24"/>
    </w:rPr>
  </w:style>
  <w:style w:type="paragraph" w:customStyle="1" w:styleId="AE2570ED5D764CD7AF9686706F550F4620">
    <w:name w:val="AE2570ED5D764CD7AF9686706F550F4620"/>
    <w:rsid w:val="00C32FC8"/>
    <w:pPr>
      <w:tabs>
        <w:tab w:val="center" w:pos="4680"/>
        <w:tab w:val="right" w:pos="9360"/>
      </w:tabs>
      <w:spacing w:after="0" w:line="240" w:lineRule="auto"/>
    </w:pPr>
    <w:rPr>
      <w:rFonts w:ascii="Times New Roman" w:hAnsi="Times New Roman"/>
      <w:sz w:val="24"/>
    </w:rPr>
  </w:style>
  <w:style w:type="paragraph" w:customStyle="1" w:styleId="E04A504E291643A893C57FFA01CAD990">
    <w:name w:val="E04A504E291643A893C57FFA01CAD990"/>
    <w:rsid w:val="00C32FC8"/>
  </w:style>
  <w:style w:type="paragraph" w:customStyle="1" w:styleId="A3081B662C0943B5B176CBC0654DBC5A">
    <w:name w:val="A3081B662C0943B5B176CBC0654DBC5A"/>
    <w:rsid w:val="00C32F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F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2FC8"/>
    <w:rPr>
      <w:rFonts w:ascii="Times New Roman" w:hAnsi="Times New Roman"/>
      <w:sz w:val="24"/>
    </w:rPr>
  </w:style>
  <w:style w:type="paragraph" w:customStyle="1" w:styleId="487D89B4F8B34DB4967D41FE18F7F88D7">
    <w:name w:val="487D89B4F8B34DB4967D41FE18F7F88D7"/>
    <w:rsid w:val="00C32FC8"/>
    <w:rPr>
      <w:rFonts w:ascii="Times New Roman" w:hAnsi="Times New Roman"/>
      <w:sz w:val="24"/>
    </w:rPr>
  </w:style>
  <w:style w:type="paragraph" w:customStyle="1" w:styleId="AE2570ED5D764CD7AF9686706F550F4620">
    <w:name w:val="AE2570ED5D764CD7AF9686706F550F4620"/>
    <w:rsid w:val="00C32FC8"/>
    <w:pPr>
      <w:tabs>
        <w:tab w:val="center" w:pos="4680"/>
        <w:tab w:val="right" w:pos="9360"/>
      </w:tabs>
      <w:spacing w:after="0" w:line="240" w:lineRule="auto"/>
    </w:pPr>
    <w:rPr>
      <w:rFonts w:ascii="Times New Roman" w:hAnsi="Times New Roman"/>
      <w:sz w:val="24"/>
    </w:rPr>
  </w:style>
  <w:style w:type="paragraph" w:customStyle="1" w:styleId="E04A504E291643A893C57FFA01CAD990">
    <w:name w:val="E04A504E291643A893C57FFA01CAD990"/>
    <w:rsid w:val="00C32FC8"/>
  </w:style>
  <w:style w:type="paragraph" w:customStyle="1" w:styleId="A3081B662C0943B5B176CBC0654DBC5A">
    <w:name w:val="A3081B662C0943B5B176CBC0654DBC5A"/>
    <w:rsid w:val="00C32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D56091-EDEC-4A40-88BD-09D4C0D2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1685</Words>
  <Characters>9607</Characters>
  <Application>Microsoft Office Word</Application>
  <DocSecurity>0</DocSecurity>
  <Lines>80</Lines>
  <Paragraphs>22</Paragraphs>
  <ScaleCrop>false</ScaleCrop>
  <Company>Texas Legislative Council</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2017-06-30T17:32:00Z</cp:lastPrinted>
  <dcterms:created xsi:type="dcterms:W3CDTF">2015-05-29T14:24:00Z</dcterms:created>
  <dcterms:modified xsi:type="dcterms:W3CDTF">2017-06-30T17:32:00Z</dcterms:modified>
</cp:coreProperties>
</file>

<file path=docProps/custom.xml><?xml version="1.0" encoding="utf-8"?>
<op:Properties xmlns:vt="http://schemas.openxmlformats.org/officeDocument/2006/docPropsVTypes" xmlns:op="http://schemas.openxmlformats.org/officeDocument/2006/custom-properties"/>
</file>