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06BD4" w:rsidTr="00345119">
        <w:tc>
          <w:tcPr>
            <w:tcW w:w="9576" w:type="dxa"/>
            <w:noWrap/>
          </w:tcPr>
          <w:p w:rsidR="008423E4" w:rsidRPr="0022177D" w:rsidRDefault="00835F4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35F4B" w:rsidP="008423E4">
      <w:pPr>
        <w:jc w:val="center"/>
      </w:pPr>
    </w:p>
    <w:p w:rsidR="008423E4" w:rsidRPr="00B31F0E" w:rsidRDefault="00835F4B" w:rsidP="008423E4"/>
    <w:p w:rsidR="008423E4" w:rsidRPr="00742794" w:rsidRDefault="00835F4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06BD4" w:rsidTr="00345119">
        <w:tc>
          <w:tcPr>
            <w:tcW w:w="9576" w:type="dxa"/>
          </w:tcPr>
          <w:p w:rsidR="008423E4" w:rsidRPr="00861995" w:rsidRDefault="00835F4B" w:rsidP="00345119">
            <w:pPr>
              <w:jc w:val="right"/>
            </w:pPr>
            <w:r>
              <w:t>S.B. 1823</w:t>
            </w:r>
          </w:p>
        </w:tc>
      </w:tr>
      <w:tr w:rsidR="00D06BD4" w:rsidTr="00345119">
        <w:tc>
          <w:tcPr>
            <w:tcW w:w="9576" w:type="dxa"/>
          </w:tcPr>
          <w:p w:rsidR="008423E4" w:rsidRPr="00861995" w:rsidRDefault="00835F4B" w:rsidP="00B22B05">
            <w:pPr>
              <w:jc w:val="right"/>
            </w:pPr>
            <w:r>
              <w:t xml:space="preserve">By: </w:t>
            </w:r>
            <w:r>
              <w:t>Burton</w:t>
            </w:r>
          </w:p>
        </w:tc>
      </w:tr>
      <w:tr w:rsidR="00D06BD4" w:rsidTr="00345119">
        <w:tc>
          <w:tcPr>
            <w:tcW w:w="9576" w:type="dxa"/>
          </w:tcPr>
          <w:p w:rsidR="008423E4" w:rsidRPr="00861995" w:rsidRDefault="00835F4B" w:rsidP="00345119">
            <w:pPr>
              <w:jc w:val="right"/>
            </w:pPr>
            <w:r>
              <w:t>Criminal Jurisprudence</w:t>
            </w:r>
          </w:p>
        </w:tc>
      </w:tr>
      <w:tr w:rsidR="00D06BD4" w:rsidTr="00345119">
        <w:tc>
          <w:tcPr>
            <w:tcW w:w="9576" w:type="dxa"/>
          </w:tcPr>
          <w:p w:rsidR="008423E4" w:rsidRDefault="00835F4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35F4B" w:rsidP="008423E4">
      <w:pPr>
        <w:tabs>
          <w:tab w:val="right" w:pos="9360"/>
        </w:tabs>
      </w:pPr>
    </w:p>
    <w:p w:rsidR="008423E4" w:rsidRDefault="00835F4B" w:rsidP="008423E4"/>
    <w:p w:rsidR="008423E4" w:rsidRDefault="00835F4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D06BD4" w:rsidTr="005C176D">
        <w:tc>
          <w:tcPr>
            <w:tcW w:w="9582" w:type="dxa"/>
          </w:tcPr>
          <w:p w:rsidR="008423E4" w:rsidRPr="00A8133F" w:rsidRDefault="00835F4B" w:rsidP="0009067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35F4B" w:rsidP="00090672"/>
          <w:p w:rsidR="008423E4" w:rsidRDefault="00835F4B" w:rsidP="00090672">
            <w:pPr>
              <w:pStyle w:val="Header"/>
              <w:jc w:val="both"/>
            </w:pPr>
            <w:r>
              <w:t xml:space="preserve">Interested parties note that there is ambiguity in current law as to </w:t>
            </w:r>
            <w:r>
              <w:t>which</w:t>
            </w:r>
            <w:r>
              <w:t xml:space="preserve"> judge</w:t>
            </w:r>
            <w:r>
              <w:t>s</w:t>
            </w:r>
            <w:r>
              <w:t xml:space="preserve"> </w:t>
            </w:r>
            <w:r>
              <w:t>may</w:t>
            </w:r>
            <w:r>
              <w:t xml:space="preserve"> issue a</w:t>
            </w:r>
            <w:r>
              <w:t xml:space="preserve"> </w:t>
            </w:r>
            <w:r>
              <w:t xml:space="preserve">warrant for </w:t>
            </w:r>
            <w:r>
              <w:t xml:space="preserve">the search of </w:t>
            </w:r>
            <w:r>
              <w:t xml:space="preserve">a cellular </w:t>
            </w:r>
            <w:r>
              <w:t>telephone or other wireless communication device</w:t>
            </w:r>
            <w:r>
              <w:t xml:space="preserve">. </w:t>
            </w:r>
            <w:r>
              <w:t xml:space="preserve">The purpose of </w:t>
            </w:r>
            <w:r>
              <w:t>S.B. 1823</w:t>
            </w:r>
            <w:r>
              <w:t xml:space="preserve"> is to remove this ambiguity.</w:t>
            </w:r>
          </w:p>
          <w:p w:rsidR="008423E4" w:rsidRPr="00E26B13" w:rsidRDefault="00835F4B" w:rsidP="00090672">
            <w:pPr>
              <w:rPr>
                <w:b/>
              </w:rPr>
            </w:pPr>
          </w:p>
        </w:tc>
      </w:tr>
      <w:tr w:rsidR="00D06BD4" w:rsidTr="005C176D">
        <w:tc>
          <w:tcPr>
            <w:tcW w:w="9582" w:type="dxa"/>
          </w:tcPr>
          <w:p w:rsidR="0017725B" w:rsidRDefault="00835F4B" w:rsidP="0009067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35F4B" w:rsidP="00090672">
            <w:pPr>
              <w:rPr>
                <w:b/>
                <w:u w:val="single"/>
              </w:rPr>
            </w:pPr>
          </w:p>
          <w:p w:rsidR="002468E5" w:rsidRPr="002468E5" w:rsidRDefault="00835F4B" w:rsidP="00090672">
            <w:pPr>
              <w:jc w:val="both"/>
            </w:pPr>
            <w:r>
              <w:t>It is the committee's opinion that this bill does not expressly create a criminal offense, increase the punishment for an exi</w:t>
            </w:r>
            <w:r>
              <w:t>sting criminal offense or category of offenses, or change the eligibility of a person for community supervision, parole, or mandatory supervision.</w:t>
            </w:r>
          </w:p>
          <w:p w:rsidR="0017725B" w:rsidRPr="0017725B" w:rsidRDefault="00835F4B" w:rsidP="00090672">
            <w:pPr>
              <w:rPr>
                <w:b/>
                <w:u w:val="single"/>
              </w:rPr>
            </w:pPr>
          </w:p>
        </w:tc>
      </w:tr>
      <w:tr w:rsidR="00D06BD4" w:rsidTr="005C176D">
        <w:tc>
          <w:tcPr>
            <w:tcW w:w="9582" w:type="dxa"/>
          </w:tcPr>
          <w:p w:rsidR="008423E4" w:rsidRPr="00A8133F" w:rsidRDefault="00835F4B" w:rsidP="0009067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35F4B" w:rsidP="00090672"/>
          <w:p w:rsidR="00DC5641" w:rsidRDefault="00835F4B" w:rsidP="000906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</w:t>
            </w:r>
            <w:r>
              <w:t xml:space="preserve"> rulemaking authority to a state officer, department, agency, or institution.</w:t>
            </w:r>
          </w:p>
          <w:p w:rsidR="008423E4" w:rsidRPr="00E21FDC" w:rsidRDefault="00835F4B" w:rsidP="00090672">
            <w:pPr>
              <w:rPr>
                <w:b/>
              </w:rPr>
            </w:pPr>
          </w:p>
        </w:tc>
      </w:tr>
      <w:tr w:rsidR="00D06BD4" w:rsidTr="005C176D">
        <w:tc>
          <w:tcPr>
            <w:tcW w:w="9582" w:type="dxa"/>
          </w:tcPr>
          <w:p w:rsidR="008423E4" w:rsidRPr="00A8133F" w:rsidRDefault="00835F4B" w:rsidP="0009067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35F4B" w:rsidP="00090672"/>
          <w:p w:rsidR="008423E4" w:rsidRDefault="00835F4B" w:rsidP="00090672">
            <w:pPr>
              <w:pStyle w:val="Header"/>
              <w:jc w:val="both"/>
            </w:pPr>
            <w:r>
              <w:t>S.B. 1823</w:t>
            </w:r>
            <w:r>
              <w:t xml:space="preserve"> amends the Code of Criminal Procedure to </w:t>
            </w:r>
            <w:r>
              <w:t xml:space="preserve">extend </w:t>
            </w:r>
            <w:r>
              <w:t>the authority</w:t>
            </w:r>
            <w:r>
              <w:t xml:space="preserve"> of a judge</w:t>
            </w:r>
            <w:r>
              <w:t xml:space="preserve"> to </w:t>
            </w:r>
            <w:r>
              <w:t>issue a search warrant to access a cellular</w:t>
            </w:r>
            <w:r>
              <w:t xml:space="preserve"> telephone or other wireless communications device to a justice or other magistr</w:t>
            </w:r>
            <w:r>
              <w:t>ate who is authorized</w:t>
            </w:r>
            <w:r>
              <w:t xml:space="preserve"> under state law</w:t>
            </w:r>
            <w:r>
              <w:t xml:space="preserve"> to issue </w:t>
            </w:r>
            <w:r>
              <w:t>a</w:t>
            </w:r>
            <w:r>
              <w:t xml:space="preserve"> search warrant </w:t>
            </w:r>
            <w:r>
              <w:t>for certain property or items constituting evidence of an offense or tending to show a person committed an offen</w:t>
            </w:r>
            <w:r>
              <w:t xml:space="preserve">se </w:t>
            </w:r>
            <w:r>
              <w:t>and who is in the requisite judicial district</w:t>
            </w:r>
            <w:r>
              <w:t>.</w:t>
            </w:r>
            <w:r>
              <w:t xml:space="preserve"> The bill </w:t>
            </w:r>
            <w:r>
              <w:t>re</w:t>
            </w:r>
            <w:r>
              <w:t xml:space="preserve">places </w:t>
            </w:r>
            <w:r>
              <w:t xml:space="preserve">the authorization for </w:t>
            </w:r>
            <w:r>
              <w:t>a peace officer</w:t>
            </w:r>
            <w:r>
              <w:t xml:space="preserve"> to</w:t>
            </w:r>
            <w:r>
              <w:t xml:space="preserve"> search a cellular telephone or other wireless communications device without a warrant</w:t>
            </w:r>
            <w:r>
              <w:t xml:space="preserve"> </w:t>
            </w:r>
            <w:r>
              <w:t>if</w:t>
            </w:r>
            <w:r>
              <w:t xml:space="preserve"> the telephone or device is reported stolen by the owner or</w:t>
            </w:r>
            <w:r>
              <w:t xml:space="preserve"> possessor </w:t>
            </w:r>
            <w:r>
              <w:t>with the authori</w:t>
            </w:r>
            <w:r>
              <w:t>zation for the officer</w:t>
            </w:r>
            <w:r>
              <w:t xml:space="preserve"> </w:t>
            </w:r>
            <w:r>
              <w:t>to do so if</w:t>
            </w:r>
            <w:r>
              <w:t xml:space="preserve"> </w:t>
            </w:r>
            <w:r>
              <w:t>the officer reasonably believes that the telephone or device has been stolen and limits the search to only the contact list information</w:t>
            </w:r>
            <w:r>
              <w:t xml:space="preserve"> and device settings necessary to identify the owner of the</w:t>
            </w:r>
            <w:r>
              <w:t xml:space="preserve"> telephone or device or</w:t>
            </w:r>
            <w:r>
              <w:t>,</w:t>
            </w:r>
            <w:r>
              <w:t xml:space="preserve"> </w:t>
            </w:r>
            <w:r>
              <w:t xml:space="preserve">if the officer is unable to identify the owner of the telephone or device from such a search, </w:t>
            </w:r>
            <w:r>
              <w:t xml:space="preserve">to </w:t>
            </w:r>
            <w:r>
              <w:t xml:space="preserve">only </w:t>
            </w:r>
            <w:r>
              <w:t xml:space="preserve">the </w:t>
            </w:r>
            <w:r>
              <w:t>photographs, social m</w:t>
            </w:r>
            <w:r>
              <w:t>edia account information, and e</w:t>
            </w:r>
            <w:r>
              <w:t>mail account information necessary to identify the owner of the telephone</w:t>
            </w:r>
            <w:r>
              <w:t xml:space="preserve"> or device.</w:t>
            </w:r>
          </w:p>
          <w:p w:rsidR="008423E4" w:rsidRPr="00835628" w:rsidRDefault="00835F4B" w:rsidP="00090672">
            <w:pPr>
              <w:rPr>
                <w:b/>
              </w:rPr>
            </w:pPr>
          </w:p>
        </w:tc>
      </w:tr>
      <w:tr w:rsidR="00D06BD4" w:rsidTr="005C176D">
        <w:tc>
          <w:tcPr>
            <w:tcW w:w="9582" w:type="dxa"/>
          </w:tcPr>
          <w:p w:rsidR="008423E4" w:rsidRPr="00A8133F" w:rsidRDefault="00835F4B" w:rsidP="0009067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35F4B" w:rsidP="00090672"/>
          <w:p w:rsidR="008423E4" w:rsidRPr="003624F2" w:rsidRDefault="00835F4B" w:rsidP="000906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835F4B" w:rsidP="00090672">
            <w:pPr>
              <w:rPr>
                <w:b/>
              </w:rPr>
            </w:pPr>
          </w:p>
        </w:tc>
      </w:tr>
      <w:tr w:rsidR="00D06BD4" w:rsidTr="005C176D">
        <w:tc>
          <w:tcPr>
            <w:tcW w:w="9582" w:type="dxa"/>
          </w:tcPr>
          <w:p w:rsidR="00EE4196" w:rsidRPr="007D1105" w:rsidRDefault="00835F4B" w:rsidP="00090672">
            <w:pPr>
              <w:jc w:val="both"/>
            </w:pPr>
          </w:p>
        </w:tc>
      </w:tr>
      <w:tr w:rsidR="00D06BD4" w:rsidTr="005C176D">
        <w:tc>
          <w:tcPr>
            <w:tcW w:w="9582" w:type="dxa"/>
          </w:tcPr>
          <w:p w:rsidR="005C176D" w:rsidRDefault="00835F4B" w:rsidP="00090672"/>
          <w:p w:rsidR="005C176D" w:rsidRPr="009C1E9A" w:rsidRDefault="00835F4B" w:rsidP="00090672">
            <w:pPr>
              <w:rPr>
                <w:b/>
                <w:u w:val="single"/>
              </w:rPr>
            </w:pPr>
          </w:p>
        </w:tc>
      </w:tr>
    </w:tbl>
    <w:p w:rsidR="004108C3" w:rsidRPr="008423E4" w:rsidRDefault="00835F4B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35F4B">
      <w:r>
        <w:separator/>
      </w:r>
    </w:p>
  </w:endnote>
  <w:endnote w:type="continuationSeparator" w:id="0">
    <w:p w:rsidR="00000000" w:rsidRDefault="0083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8C1" w:rsidRDefault="00835F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06BD4" w:rsidTr="009C1E9A">
      <w:trPr>
        <w:cantSplit/>
      </w:trPr>
      <w:tc>
        <w:tcPr>
          <w:tcW w:w="0" w:type="pct"/>
        </w:tcPr>
        <w:p w:rsidR="00137D90" w:rsidRDefault="00835F4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35F4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35F4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35F4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35F4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06BD4" w:rsidTr="009C1E9A">
      <w:trPr>
        <w:cantSplit/>
      </w:trPr>
      <w:tc>
        <w:tcPr>
          <w:tcW w:w="0" w:type="pct"/>
        </w:tcPr>
        <w:p w:rsidR="00EC379B" w:rsidRDefault="00835F4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35F4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30250</w:t>
          </w:r>
        </w:p>
      </w:tc>
      <w:tc>
        <w:tcPr>
          <w:tcW w:w="2453" w:type="pct"/>
        </w:tcPr>
        <w:p w:rsidR="00EC379B" w:rsidRDefault="00835F4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17.131.22</w:t>
          </w:r>
          <w:r>
            <w:fldChar w:fldCharType="end"/>
          </w:r>
        </w:p>
      </w:tc>
    </w:tr>
    <w:tr w:rsidR="00D06BD4" w:rsidTr="009C1E9A">
      <w:trPr>
        <w:cantSplit/>
      </w:trPr>
      <w:tc>
        <w:tcPr>
          <w:tcW w:w="0" w:type="pct"/>
        </w:tcPr>
        <w:p w:rsidR="00EC379B" w:rsidRDefault="00835F4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35F4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35F4B" w:rsidP="006D504F">
          <w:pPr>
            <w:pStyle w:val="Footer"/>
            <w:rPr>
              <w:rStyle w:val="PageNumber"/>
            </w:rPr>
          </w:pPr>
        </w:p>
        <w:p w:rsidR="00EC379B" w:rsidRDefault="00835F4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06BD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35F4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35F4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35F4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8C1" w:rsidRDefault="00835F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35F4B">
      <w:r>
        <w:separator/>
      </w:r>
    </w:p>
  </w:footnote>
  <w:footnote w:type="continuationSeparator" w:id="0">
    <w:p w:rsidR="00000000" w:rsidRDefault="00835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8C1" w:rsidRDefault="00835F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8C1" w:rsidRDefault="00835F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8C1" w:rsidRDefault="00835F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D4"/>
    <w:rsid w:val="00835F4B"/>
    <w:rsid w:val="00D0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077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77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778B"/>
  </w:style>
  <w:style w:type="paragraph" w:styleId="CommentSubject">
    <w:name w:val="annotation subject"/>
    <w:basedOn w:val="CommentText"/>
    <w:next w:val="CommentText"/>
    <w:link w:val="CommentSubjectChar"/>
    <w:rsid w:val="00A07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778B"/>
    <w:rPr>
      <w:b/>
      <w:bCs/>
    </w:rPr>
  </w:style>
  <w:style w:type="character" w:styleId="Hyperlink">
    <w:name w:val="Hyperlink"/>
    <w:basedOn w:val="DefaultParagraphFont"/>
    <w:rsid w:val="009E39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077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77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778B"/>
  </w:style>
  <w:style w:type="paragraph" w:styleId="CommentSubject">
    <w:name w:val="annotation subject"/>
    <w:basedOn w:val="CommentText"/>
    <w:next w:val="CommentText"/>
    <w:link w:val="CommentSubjectChar"/>
    <w:rsid w:val="00A07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778B"/>
    <w:rPr>
      <w:b/>
      <w:bCs/>
    </w:rPr>
  </w:style>
  <w:style w:type="character" w:styleId="Hyperlink">
    <w:name w:val="Hyperlink"/>
    <w:basedOn w:val="DefaultParagraphFont"/>
    <w:rsid w:val="009E39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1707</Characters>
  <Application>Microsoft Office Word</Application>
  <DocSecurity>4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HB02450 (Committee Report (Substituted))</vt:lpstr>
    </vt:vector>
  </TitlesOfParts>
  <Company>State of Texas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30250</dc:subject>
  <dc:creator>State of Texas</dc:creator>
  <dc:description>SB 1823 by Burton-(H)Criminal Jurisprudence</dc:description>
  <cp:lastModifiedBy>Molly Hoffman-Bricker</cp:lastModifiedBy>
  <cp:revision>2</cp:revision>
  <cp:lastPrinted>2017-05-02T21:48:00Z</cp:lastPrinted>
  <dcterms:created xsi:type="dcterms:W3CDTF">2017-05-12T20:07:00Z</dcterms:created>
  <dcterms:modified xsi:type="dcterms:W3CDTF">2017-05-12T20:07:00Z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17.131.22</vt:lpwstr>
  </property>
</Properties>
</file>