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27" w:rsidRDefault="00B3052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85E45378662429CBC5022FE863309B0"/>
          </w:placeholder>
        </w:sdtPr>
        <w:sdtContent>
          <w:r w:rsidRPr="005C2A78">
            <w:rPr>
              <w:rFonts w:cs="Times New Roman"/>
              <w:b/>
              <w:szCs w:val="24"/>
              <w:u w:val="single"/>
            </w:rPr>
            <w:t>BILL ANALYSIS</w:t>
          </w:r>
        </w:sdtContent>
      </w:sdt>
    </w:p>
    <w:p w:rsidR="00B30527" w:rsidRPr="00585C31" w:rsidRDefault="00B30527" w:rsidP="000F1DF9">
      <w:pPr>
        <w:spacing w:after="0" w:line="240" w:lineRule="auto"/>
        <w:rPr>
          <w:rFonts w:cs="Times New Roman"/>
          <w:szCs w:val="24"/>
        </w:rPr>
      </w:pPr>
    </w:p>
    <w:p w:rsidR="00B30527" w:rsidRPr="00585C31" w:rsidRDefault="00B3052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30527" w:rsidTr="000F1DF9">
        <w:tc>
          <w:tcPr>
            <w:tcW w:w="2718" w:type="dxa"/>
          </w:tcPr>
          <w:p w:rsidR="00B30527" w:rsidRPr="005C2A78" w:rsidRDefault="00B30527" w:rsidP="006D756B">
            <w:pPr>
              <w:rPr>
                <w:rFonts w:cs="Times New Roman"/>
                <w:szCs w:val="24"/>
              </w:rPr>
            </w:pPr>
            <w:sdt>
              <w:sdtPr>
                <w:rPr>
                  <w:rFonts w:cs="Times New Roman"/>
                  <w:szCs w:val="24"/>
                </w:rPr>
                <w:alias w:val="Agency Title"/>
                <w:tag w:val="AgencyTitleContentControl"/>
                <w:id w:val="1920747753"/>
                <w:lock w:val="sdtContentLocked"/>
                <w:placeholder>
                  <w:docPart w:val="12BEB97DA00B41FC9577AA3D487324A4"/>
                </w:placeholder>
              </w:sdtPr>
              <w:sdtEndPr>
                <w:rPr>
                  <w:rFonts w:cstheme="minorBidi"/>
                  <w:szCs w:val="22"/>
                </w:rPr>
              </w:sdtEndPr>
              <w:sdtContent>
                <w:r>
                  <w:rPr>
                    <w:rFonts w:cs="Times New Roman"/>
                    <w:szCs w:val="24"/>
                  </w:rPr>
                  <w:t>Senate Research Center</w:t>
                </w:r>
              </w:sdtContent>
            </w:sdt>
          </w:p>
        </w:tc>
        <w:tc>
          <w:tcPr>
            <w:tcW w:w="6858" w:type="dxa"/>
          </w:tcPr>
          <w:p w:rsidR="00B30527" w:rsidRPr="00FF6471" w:rsidRDefault="00B30527" w:rsidP="000F1DF9">
            <w:pPr>
              <w:jc w:val="right"/>
              <w:rPr>
                <w:rFonts w:cs="Times New Roman"/>
                <w:szCs w:val="24"/>
              </w:rPr>
            </w:pPr>
            <w:sdt>
              <w:sdtPr>
                <w:rPr>
                  <w:rFonts w:cs="Times New Roman"/>
                  <w:szCs w:val="24"/>
                </w:rPr>
                <w:alias w:val="Bill Number"/>
                <w:tag w:val="BillNumberOne"/>
                <w:id w:val="-410784069"/>
                <w:lock w:val="sdtContentLocked"/>
                <w:placeholder>
                  <w:docPart w:val="8B370983D8584D1D8AEBB7DD4A32E87A"/>
                </w:placeholder>
              </w:sdtPr>
              <w:sdtContent>
                <w:r>
                  <w:rPr>
                    <w:rFonts w:cs="Times New Roman"/>
                    <w:szCs w:val="24"/>
                  </w:rPr>
                  <w:t>C.S.S.B. 1893</w:t>
                </w:r>
              </w:sdtContent>
            </w:sdt>
          </w:p>
        </w:tc>
      </w:tr>
      <w:tr w:rsidR="00B30527" w:rsidTr="000F1DF9">
        <w:sdt>
          <w:sdtPr>
            <w:rPr>
              <w:rFonts w:cs="Times New Roman"/>
              <w:szCs w:val="24"/>
            </w:rPr>
            <w:alias w:val="TLCNumber"/>
            <w:tag w:val="TLCNumber"/>
            <w:id w:val="-542600604"/>
            <w:lock w:val="sdtLocked"/>
            <w:placeholder>
              <w:docPart w:val="BE2E5BA2404E4709BC9AD96E5EE4EBC4"/>
            </w:placeholder>
          </w:sdtPr>
          <w:sdtContent>
            <w:tc>
              <w:tcPr>
                <w:tcW w:w="2718" w:type="dxa"/>
              </w:tcPr>
              <w:p w:rsidR="00B30527" w:rsidRPr="000F1DF9" w:rsidRDefault="00B30527" w:rsidP="00C65088">
                <w:pPr>
                  <w:rPr>
                    <w:rFonts w:cs="Times New Roman"/>
                    <w:szCs w:val="24"/>
                  </w:rPr>
                </w:pPr>
                <w:r>
                  <w:rPr>
                    <w:rFonts w:cs="Times New Roman"/>
                    <w:szCs w:val="24"/>
                  </w:rPr>
                  <w:t>85R26631 YDB-D</w:t>
                </w:r>
              </w:p>
            </w:tc>
          </w:sdtContent>
        </w:sdt>
        <w:tc>
          <w:tcPr>
            <w:tcW w:w="6858" w:type="dxa"/>
          </w:tcPr>
          <w:p w:rsidR="00B30527" w:rsidRPr="005C2A78" w:rsidRDefault="00B30527" w:rsidP="006D756B">
            <w:pPr>
              <w:jc w:val="right"/>
              <w:rPr>
                <w:rFonts w:cs="Times New Roman"/>
                <w:szCs w:val="24"/>
              </w:rPr>
            </w:pPr>
            <w:sdt>
              <w:sdtPr>
                <w:rPr>
                  <w:rFonts w:cs="Times New Roman"/>
                  <w:szCs w:val="24"/>
                </w:rPr>
                <w:alias w:val="Author Label"/>
                <w:tag w:val="By"/>
                <w:id w:val="72399597"/>
                <w:lock w:val="sdtLocked"/>
                <w:placeholder>
                  <w:docPart w:val="384C59A6428641FB8A95443690B1C91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E54C9F604224BC0B2E5ACA257FFC0A3"/>
                </w:placeholder>
              </w:sdtPr>
              <w:sdtContent>
                <w:r>
                  <w:rPr>
                    <w:rFonts w:cs="Times New Roman"/>
                    <w:szCs w:val="24"/>
                  </w:rPr>
                  <w:t>Birdwell; Zaffirini</w:t>
                </w:r>
              </w:sdtContent>
            </w:sdt>
            <w:sdt>
              <w:sdtPr>
                <w:rPr>
                  <w:rFonts w:cs="Times New Roman"/>
                  <w:szCs w:val="24"/>
                </w:rPr>
                <w:alias w:val="Sponsor"/>
                <w:tag w:val="Sponsor"/>
                <w:id w:val="-2039656131"/>
                <w:lock w:val="sdtContentLocked"/>
                <w:placeholder>
                  <w:docPart w:val="5F0033A6F68E469483299144EC8BDCE6"/>
                </w:placeholder>
                <w:showingPlcHdr/>
              </w:sdtPr>
              <w:sdtContent/>
            </w:sdt>
          </w:p>
        </w:tc>
      </w:tr>
      <w:tr w:rsidR="00B30527" w:rsidTr="000F1DF9">
        <w:tc>
          <w:tcPr>
            <w:tcW w:w="2718" w:type="dxa"/>
          </w:tcPr>
          <w:p w:rsidR="00B30527" w:rsidRPr="00BC7495" w:rsidRDefault="00B30527" w:rsidP="000F1DF9">
            <w:pPr>
              <w:rPr>
                <w:rFonts w:cs="Times New Roman"/>
                <w:szCs w:val="24"/>
              </w:rPr>
            </w:pPr>
          </w:p>
        </w:tc>
        <w:sdt>
          <w:sdtPr>
            <w:rPr>
              <w:rFonts w:cs="Times New Roman"/>
              <w:szCs w:val="24"/>
            </w:rPr>
            <w:alias w:val="Committee"/>
            <w:tag w:val="Committee"/>
            <w:id w:val="1914272295"/>
            <w:lock w:val="sdtContentLocked"/>
            <w:placeholder>
              <w:docPart w:val="CB43F793A3854A9D89F0DAD4B4C92446"/>
            </w:placeholder>
          </w:sdtPr>
          <w:sdtContent>
            <w:tc>
              <w:tcPr>
                <w:tcW w:w="6858" w:type="dxa"/>
              </w:tcPr>
              <w:p w:rsidR="00B30527" w:rsidRPr="00FF6471" w:rsidRDefault="00B30527" w:rsidP="000F1DF9">
                <w:pPr>
                  <w:jc w:val="right"/>
                  <w:rPr>
                    <w:rFonts w:cs="Times New Roman"/>
                    <w:szCs w:val="24"/>
                  </w:rPr>
                </w:pPr>
                <w:r>
                  <w:rPr>
                    <w:rFonts w:cs="Times New Roman"/>
                    <w:szCs w:val="24"/>
                  </w:rPr>
                  <w:t>State Affairs</w:t>
                </w:r>
              </w:p>
            </w:tc>
          </w:sdtContent>
        </w:sdt>
      </w:tr>
      <w:tr w:rsidR="00B30527" w:rsidTr="000F1DF9">
        <w:tc>
          <w:tcPr>
            <w:tcW w:w="2718" w:type="dxa"/>
          </w:tcPr>
          <w:p w:rsidR="00B30527" w:rsidRPr="00BC7495" w:rsidRDefault="00B30527" w:rsidP="000F1DF9">
            <w:pPr>
              <w:rPr>
                <w:rFonts w:cs="Times New Roman"/>
                <w:szCs w:val="24"/>
              </w:rPr>
            </w:pPr>
          </w:p>
        </w:tc>
        <w:sdt>
          <w:sdtPr>
            <w:rPr>
              <w:rFonts w:cs="Times New Roman"/>
              <w:szCs w:val="24"/>
            </w:rPr>
            <w:alias w:val="Date"/>
            <w:tag w:val="DateContentControl"/>
            <w:id w:val="1178081906"/>
            <w:lock w:val="sdtLocked"/>
            <w:placeholder>
              <w:docPart w:val="EEAA8AD8C90E4B13807B4A6363D57E88"/>
            </w:placeholder>
            <w:date w:fullDate="2017-04-27T00:00:00Z">
              <w:dateFormat w:val="M/d/yyyy"/>
              <w:lid w:val="en-US"/>
              <w:storeMappedDataAs w:val="dateTime"/>
              <w:calendar w:val="gregorian"/>
            </w:date>
          </w:sdtPr>
          <w:sdtContent>
            <w:tc>
              <w:tcPr>
                <w:tcW w:w="6858" w:type="dxa"/>
              </w:tcPr>
              <w:p w:rsidR="00B30527" w:rsidRPr="00FF6471" w:rsidRDefault="00B30527" w:rsidP="000F1DF9">
                <w:pPr>
                  <w:jc w:val="right"/>
                  <w:rPr>
                    <w:rFonts w:cs="Times New Roman"/>
                    <w:szCs w:val="24"/>
                  </w:rPr>
                </w:pPr>
                <w:r>
                  <w:rPr>
                    <w:rFonts w:cs="Times New Roman"/>
                    <w:szCs w:val="24"/>
                  </w:rPr>
                  <w:t>4/27/2017</w:t>
                </w:r>
              </w:p>
            </w:tc>
          </w:sdtContent>
        </w:sdt>
      </w:tr>
      <w:tr w:rsidR="00B30527" w:rsidTr="000F1DF9">
        <w:tc>
          <w:tcPr>
            <w:tcW w:w="2718" w:type="dxa"/>
          </w:tcPr>
          <w:p w:rsidR="00B30527" w:rsidRPr="00BC7495" w:rsidRDefault="00B30527" w:rsidP="000F1DF9">
            <w:pPr>
              <w:rPr>
                <w:rFonts w:cs="Times New Roman"/>
                <w:szCs w:val="24"/>
              </w:rPr>
            </w:pPr>
          </w:p>
        </w:tc>
        <w:sdt>
          <w:sdtPr>
            <w:rPr>
              <w:rFonts w:cs="Times New Roman"/>
              <w:szCs w:val="24"/>
            </w:rPr>
            <w:alias w:val="BA Version"/>
            <w:tag w:val="BAVersion"/>
            <w:id w:val="-1685590809"/>
            <w:lock w:val="sdtContentLocked"/>
            <w:placeholder>
              <w:docPart w:val="F922DF00585A40DE8034F704E9213234"/>
            </w:placeholder>
          </w:sdtPr>
          <w:sdtContent>
            <w:tc>
              <w:tcPr>
                <w:tcW w:w="6858" w:type="dxa"/>
              </w:tcPr>
              <w:p w:rsidR="00B30527" w:rsidRPr="00FF6471" w:rsidRDefault="00B30527" w:rsidP="000F1DF9">
                <w:pPr>
                  <w:jc w:val="right"/>
                  <w:rPr>
                    <w:rFonts w:cs="Times New Roman"/>
                    <w:szCs w:val="24"/>
                  </w:rPr>
                </w:pPr>
                <w:r>
                  <w:rPr>
                    <w:rFonts w:cs="Times New Roman"/>
                    <w:szCs w:val="24"/>
                  </w:rPr>
                  <w:t>Committee Report (Substituted)</w:t>
                </w:r>
              </w:p>
            </w:tc>
          </w:sdtContent>
        </w:sdt>
      </w:tr>
    </w:tbl>
    <w:p w:rsidR="00B30527" w:rsidRPr="00FF6471" w:rsidRDefault="00B30527" w:rsidP="000F1DF9">
      <w:pPr>
        <w:spacing w:after="0" w:line="240" w:lineRule="auto"/>
        <w:rPr>
          <w:rFonts w:cs="Times New Roman"/>
          <w:szCs w:val="24"/>
        </w:rPr>
      </w:pPr>
    </w:p>
    <w:p w:rsidR="00B30527" w:rsidRPr="00FF6471" w:rsidRDefault="00B30527" w:rsidP="000F1DF9">
      <w:pPr>
        <w:spacing w:after="0" w:line="240" w:lineRule="auto"/>
        <w:rPr>
          <w:rFonts w:cs="Times New Roman"/>
          <w:szCs w:val="24"/>
        </w:rPr>
      </w:pPr>
    </w:p>
    <w:p w:rsidR="00B30527" w:rsidRPr="00FF6471" w:rsidRDefault="00B3052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58434ED393B49FF8A87741F320F55F1"/>
        </w:placeholder>
      </w:sdtPr>
      <w:sdtContent>
        <w:p w:rsidR="00B30527" w:rsidRDefault="00B3052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AFD2247B7204AED8477B10A8566FD6F"/>
        </w:placeholder>
      </w:sdtPr>
      <w:sdtContent>
        <w:p w:rsidR="00B30527" w:rsidRDefault="00B30527" w:rsidP="001A0CBA">
          <w:pPr>
            <w:pStyle w:val="NormalWeb"/>
            <w:spacing w:before="0" w:beforeAutospacing="0" w:after="0" w:afterAutospacing="0"/>
            <w:jc w:val="both"/>
            <w:divId w:val="1774592343"/>
            <w:rPr>
              <w:rFonts w:eastAsia="Times New Roman" w:cstheme="minorBidi"/>
              <w:bCs/>
              <w:szCs w:val="22"/>
            </w:rPr>
          </w:pPr>
        </w:p>
        <w:p w:rsidR="00B30527" w:rsidRDefault="00B30527" w:rsidP="001A0CBA">
          <w:pPr>
            <w:pStyle w:val="NormalWeb"/>
            <w:spacing w:before="0" w:beforeAutospacing="0" w:after="0" w:afterAutospacing="0"/>
            <w:jc w:val="both"/>
            <w:divId w:val="1774592343"/>
          </w:pPr>
          <w:r w:rsidRPr="001A0CBA">
            <w:t>The State of Texas is currently divided by statute into nine administrative judicial regions with one regional presiding judge appointed by the governor in each region. The regional presiding judges are responsible for assisting with the administration of justice for the trial courts within their region. Their duties include, but are not limited to, temporarily assigning judges to courts as needed, appointing and overseeing the child protection and child support courts, hearing recusal motions filed in the trial courts, reviewing appeals from the denial of public information requests within the judicial branch, reviewing appeals from the Judicial Branch Certification Commission, and appointing prosecutors in a public integrity unit case following recusal of the sitting prosecutor. Over time, the workload of the regional presiding judges has increased, especially in the First and Second Administrative Judicial Regions.</w:t>
          </w:r>
        </w:p>
        <w:p w:rsidR="00B30527" w:rsidRPr="001A0CBA" w:rsidRDefault="00B30527" w:rsidP="001A0CBA">
          <w:pPr>
            <w:pStyle w:val="NormalWeb"/>
            <w:spacing w:before="0" w:beforeAutospacing="0" w:after="0" w:afterAutospacing="0"/>
            <w:jc w:val="both"/>
            <w:divId w:val="1774592343"/>
          </w:pPr>
        </w:p>
        <w:p w:rsidR="00B30527" w:rsidRDefault="00B30527" w:rsidP="001A0CBA">
          <w:pPr>
            <w:pStyle w:val="NormalWeb"/>
            <w:spacing w:before="0" w:beforeAutospacing="0" w:after="0" w:afterAutospacing="0"/>
            <w:jc w:val="both"/>
            <w:divId w:val="1774592343"/>
          </w:pPr>
          <w:r w:rsidRPr="001A0CBA">
            <w:t>In addition to workload concerns, the current boundaries of the administrative judicial regions cause several district courts to be split across two regions, causing the district judges in those counties to be required to work with two regional presiding judges depending on the county. This alignment increases complexity of the judicial administration structure.</w:t>
          </w:r>
        </w:p>
        <w:p w:rsidR="00B30527" w:rsidRPr="001A0CBA" w:rsidRDefault="00B30527" w:rsidP="001A0CBA">
          <w:pPr>
            <w:pStyle w:val="NormalWeb"/>
            <w:spacing w:before="0" w:beforeAutospacing="0" w:after="0" w:afterAutospacing="0"/>
            <w:jc w:val="both"/>
            <w:divId w:val="1774592343"/>
          </w:pPr>
        </w:p>
        <w:p w:rsidR="00B30527" w:rsidRPr="001A0CBA" w:rsidRDefault="00B30527" w:rsidP="001A0CBA">
          <w:pPr>
            <w:pStyle w:val="NormalWeb"/>
            <w:spacing w:before="0" w:beforeAutospacing="0" w:after="0" w:afterAutospacing="0"/>
            <w:jc w:val="both"/>
            <w:divId w:val="1774592343"/>
          </w:pPr>
          <w:r w:rsidRPr="001A0CBA">
            <w:t>S.B. 1893 reworks the current boundaries of the administrative judicial regions to help with these workload concerns as well as more closely align the districts to eliminate the overlap between district judges as well as appellate districts. (Original Author's / Sponsor's Statement of Intent)</w:t>
          </w:r>
        </w:p>
        <w:p w:rsidR="00B30527" w:rsidRPr="00D70925" w:rsidRDefault="00B30527" w:rsidP="001A0CBA">
          <w:pPr>
            <w:spacing w:after="0" w:line="240" w:lineRule="auto"/>
            <w:jc w:val="both"/>
            <w:rPr>
              <w:rFonts w:eastAsia="Times New Roman" w:cs="Times New Roman"/>
              <w:bCs/>
              <w:szCs w:val="24"/>
            </w:rPr>
          </w:pPr>
        </w:p>
      </w:sdtContent>
    </w:sdt>
    <w:p w:rsidR="00B30527" w:rsidRDefault="00B3052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1893 </w:t>
      </w:r>
      <w:bookmarkStart w:id="1" w:name="AmendsCurrentLaw"/>
      <w:bookmarkEnd w:id="1"/>
      <w:r>
        <w:rPr>
          <w:rFonts w:cs="Times New Roman"/>
          <w:szCs w:val="24"/>
        </w:rPr>
        <w:t>amends current law relating to the administrative judicial regions in this state.</w:t>
      </w:r>
    </w:p>
    <w:p w:rsidR="00B30527" w:rsidRPr="004F7925" w:rsidRDefault="00B30527" w:rsidP="000F1DF9">
      <w:pPr>
        <w:spacing w:after="0" w:line="240" w:lineRule="auto"/>
        <w:jc w:val="both"/>
        <w:rPr>
          <w:rFonts w:eastAsia="Times New Roman" w:cs="Times New Roman"/>
          <w:szCs w:val="24"/>
        </w:rPr>
      </w:pPr>
    </w:p>
    <w:p w:rsidR="00B30527" w:rsidRPr="005C2A78" w:rsidRDefault="00B3052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A7A0CC368140ADA437A93C2C6492D5"/>
          </w:placeholder>
        </w:sdtPr>
        <w:sdtContent>
          <w:r>
            <w:rPr>
              <w:rFonts w:eastAsia="Times New Roman" w:cs="Times New Roman"/>
              <w:b/>
              <w:szCs w:val="24"/>
              <w:u w:val="single"/>
            </w:rPr>
            <w:t>RULEMAKING AUTHORITY</w:t>
          </w:r>
        </w:sdtContent>
      </w:sdt>
    </w:p>
    <w:p w:rsidR="00B30527" w:rsidRPr="006529C4" w:rsidRDefault="00B30527" w:rsidP="00774EC7">
      <w:pPr>
        <w:spacing w:after="0" w:line="240" w:lineRule="auto"/>
        <w:jc w:val="both"/>
        <w:rPr>
          <w:rFonts w:cs="Times New Roman"/>
          <w:szCs w:val="24"/>
        </w:rPr>
      </w:pPr>
    </w:p>
    <w:p w:rsidR="00B30527" w:rsidRPr="006529C4" w:rsidRDefault="00B3052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30527" w:rsidRPr="006529C4" w:rsidRDefault="00B30527" w:rsidP="00774EC7">
      <w:pPr>
        <w:spacing w:after="0" w:line="240" w:lineRule="auto"/>
        <w:jc w:val="both"/>
        <w:rPr>
          <w:rFonts w:cs="Times New Roman"/>
          <w:szCs w:val="24"/>
        </w:rPr>
      </w:pPr>
    </w:p>
    <w:p w:rsidR="00B30527" w:rsidRPr="005C2A78" w:rsidRDefault="00B3052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B6139B559254FBC8C8553E8A893F763"/>
          </w:placeholder>
        </w:sdtPr>
        <w:sdtContent>
          <w:r>
            <w:rPr>
              <w:rFonts w:eastAsia="Times New Roman" w:cs="Times New Roman"/>
              <w:b/>
              <w:szCs w:val="24"/>
              <w:u w:val="single"/>
            </w:rPr>
            <w:t>SECTION BY SECTION ANALYSIS</w:t>
          </w:r>
        </w:sdtContent>
      </w:sdt>
    </w:p>
    <w:p w:rsidR="00B30527" w:rsidRPr="005C2A78" w:rsidRDefault="00B30527" w:rsidP="000F1DF9">
      <w:pPr>
        <w:spacing w:after="0" w:line="240" w:lineRule="auto"/>
        <w:jc w:val="both"/>
        <w:rPr>
          <w:rFonts w:eastAsia="Times New Roman" w:cs="Times New Roman"/>
          <w:szCs w:val="24"/>
        </w:rPr>
      </w:pPr>
    </w:p>
    <w:p w:rsidR="00B30527" w:rsidRDefault="00B30527"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74.042, Government Code, effective September 1, 2017, by amending Subsections (a), (b), (c), and (d) and adding Subsections (k) and (l), as follows: </w:t>
      </w:r>
    </w:p>
    <w:p w:rsidR="00B30527" w:rsidRDefault="00B30527" w:rsidP="000F1DF9">
      <w:pPr>
        <w:spacing w:after="0" w:line="240" w:lineRule="auto"/>
        <w:jc w:val="both"/>
        <w:rPr>
          <w:rFonts w:eastAsia="Times New Roman" w:cs="Times New Roman"/>
          <w:szCs w:val="24"/>
        </w:rPr>
      </w:pPr>
    </w:p>
    <w:p w:rsidR="00B30527" w:rsidRDefault="00B30527" w:rsidP="004F7925">
      <w:pPr>
        <w:spacing w:after="0" w:line="240" w:lineRule="auto"/>
        <w:ind w:left="720"/>
        <w:jc w:val="both"/>
        <w:rPr>
          <w:rFonts w:eastAsia="Times New Roman" w:cs="Times New Roman"/>
          <w:szCs w:val="24"/>
        </w:rPr>
      </w:pPr>
      <w:r>
        <w:rPr>
          <w:rFonts w:eastAsia="Times New Roman" w:cs="Times New Roman"/>
          <w:szCs w:val="24"/>
        </w:rPr>
        <w:t xml:space="preserve">(a) Provides that the state is divided into 11, rather than nine, administrative judicial regions (AJRs). </w:t>
      </w:r>
    </w:p>
    <w:p w:rsidR="00B30527" w:rsidRDefault="00B30527" w:rsidP="004F7925">
      <w:pPr>
        <w:spacing w:after="0" w:line="240" w:lineRule="auto"/>
        <w:ind w:left="720"/>
        <w:jc w:val="both"/>
        <w:rPr>
          <w:rFonts w:eastAsia="Times New Roman" w:cs="Times New Roman"/>
          <w:szCs w:val="24"/>
        </w:rPr>
      </w:pPr>
    </w:p>
    <w:p w:rsidR="00B30527" w:rsidRDefault="00B30527" w:rsidP="00F57AC5">
      <w:pPr>
        <w:spacing w:after="0" w:line="240" w:lineRule="auto"/>
        <w:ind w:left="720"/>
        <w:jc w:val="both"/>
        <w:rPr>
          <w:rFonts w:eastAsia="Times New Roman" w:cs="Times New Roman"/>
          <w:szCs w:val="24"/>
        </w:rPr>
      </w:pPr>
      <w:r>
        <w:rPr>
          <w:rFonts w:eastAsia="Times New Roman" w:cs="Times New Roman"/>
          <w:szCs w:val="24"/>
        </w:rPr>
        <w:t xml:space="preserve">(b) Provides that the First AJR is composed of the counties of Collin, Dallas, Ellis, Grayson, Kaufman, and Rockwall, rather than certain other counties. </w:t>
      </w:r>
    </w:p>
    <w:p w:rsidR="00B30527" w:rsidRDefault="00B30527" w:rsidP="004F7925">
      <w:pPr>
        <w:spacing w:after="0" w:line="240" w:lineRule="auto"/>
        <w:ind w:left="1440"/>
        <w:jc w:val="both"/>
        <w:rPr>
          <w:rFonts w:eastAsia="Times New Roman" w:cs="Times New Roman"/>
          <w:szCs w:val="24"/>
        </w:rPr>
      </w:pPr>
    </w:p>
    <w:p w:rsidR="00B30527" w:rsidRDefault="00B30527" w:rsidP="00F57AC5">
      <w:pPr>
        <w:spacing w:after="0" w:line="240" w:lineRule="auto"/>
        <w:ind w:left="720"/>
        <w:jc w:val="both"/>
        <w:rPr>
          <w:rFonts w:eastAsia="Times New Roman" w:cs="Times New Roman"/>
          <w:szCs w:val="24"/>
        </w:rPr>
      </w:pPr>
      <w:r>
        <w:rPr>
          <w:rFonts w:eastAsia="Times New Roman" w:cs="Times New Roman"/>
          <w:szCs w:val="24"/>
        </w:rPr>
        <w:t xml:space="preserve">(c) Provides that the Second AJR is composed of the counties of Angelina, Bastrop, Brazos, Burleson, Chambers, Grimes, Hardin, Jasper, Jefferson, Lee, Liberty, Madison, Montgomery, Newton, Orange, Polk, San Jacinto, Trinity, Tyler, Walker, Waller, and Washington, rather than certain other counties. </w:t>
      </w:r>
    </w:p>
    <w:p w:rsidR="00B30527" w:rsidRDefault="00B30527" w:rsidP="004F7925">
      <w:pPr>
        <w:spacing w:after="0" w:line="240" w:lineRule="auto"/>
        <w:ind w:left="1440"/>
        <w:jc w:val="both"/>
        <w:rPr>
          <w:rFonts w:eastAsia="Times New Roman" w:cs="Times New Roman"/>
          <w:szCs w:val="24"/>
        </w:rPr>
      </w:pPr>
    </w:p>
    <w:p w:rsidR="00B30527" w:rsidRDefault="00B30527" w:rsidP="00F57AC5">
      <w:pPr>
        <w:spacing w:after="0" w:line="240" w:lineRule="auto"/>
        <w:ind w:left="720"/>
        <w:jc w:val="both"/>
        <w:rPr>
          <w:rFonts w:eastAsia="Times New Roman" w:cs="Times New Roman"/>
          <w:szCs w:val="24"/>
        </w:rPr>
      </w:pPr>
      <w:r>
        <w:rPr>
          <w:rFonts w:eastAsia="Times New Roman" w:cs="Times New Roman"/>
          <w:szCs w:val="24"/>
        </w:rPr>
        <w:t xml:space="preserve">(d) Provides that the Third AJR is composed of the counties of Austin, Bell, Blanco, Bosque, Burnet, Caldwell, Colorado, Comal, Comanche, Coryell, Falls, Fayette, Gonzales, Guadalupe, Hamilton, Hays, Hill, Lampasas, Lavaca, Llano, McLennan, Milam, Navarro, Robertson, San Saba, Travis, and Williamson, rather than certain other counties. </w:t>
      </w:r>
    </w:p>
    <w:p w:rsidR="00B30527" w:rsidRDefault="00B30527" w:rsidP="001A0CBA">
      <w:pPr>
        <w:spacing w:after="0" w:line="240" w:lineRule="auto"/>
        <w:jc w:val="both"/>
        <w:rPr>
          <w:rFonts w:eastAsia="Times New Roman" w:cs="Times New Roman"/>
          <w:szCs w:val="24"/>
        </w:rPr>
      </w:pPr>
    </w:p>
    <w:p w:rsidR="00B30527" w:rsidRDefault="00B30527" w:rsidP="00F57AC5">
      <w:pPr>
        <w:spacing w:after="0" w:line="240" w:lineRule="auto"/>
        <w:ind w:left="720"/>
        <w:jc w:val="both"/>
        <w:rPr>
          <w:rFonts w:eastAsia="Times New Roman" w:cs="Times New Roman"/>
          <w:szCs w:val="24"/>
        </w:rPr>
      </w:pPr>
      <w:r>
        <w:rPr>
          <w:rFonts w:eastAsia="Times New Roman" w:cs="Times New Roman"/>
          <w:szCs w:val="24"/>
        </w:rPr>
        <w:t xml:space="preserve">(k) Provides that the Tenth AJR is composed of the counties of Anderson, Bowie, Camp, Cass, Cherokee, Delta, Fannin, Franklin, Freestone, Gregg, Harrison, Henderson, Hopkins, Houston, Hunt, Lamar, Leon, Limestone, Marion, Morris, Nacogdoches, Panola, Rains, Red River, Rusk, Sabine, San Augustine, Shelby, Smith, Titus, Upshur, Van Zandt, and Wood.   </w:t>
      </w:r>
    </w:p>
    <w:p w:rsidR="00B30527" w:rsidRDefault="00B30527" w:rsidP="004F7925">
      <w:pPr>
        <w:spacing w:after="0" w:line="240" w:lineRule="auto"/>
        <w:ind w:left="1440"/>
        <w:jc w:val="both"/>
        <w:rPr>
          <w:rFonts w:eastAsia="Times New Roman" w:cs="Times New Roman"/>
          <w:szCs w:val="24"/>
        </w:rPr>
      </w:pPr>
    </w:p>
    <w:p w:rsidR="00B30527" w:rsidRPr="005C2A78" w:rsidRDefault="00B30527" w:rsidP="00F57AC5">
      <w:pPr>
        <w:spacing w:after="0" w:line="240" w:lineRule="auto"/>
        <w:ind w:left="720"/>
        <w:jc w:val="both"/>
        <w:rPr>
          <w:rFonts w:eastAsia="Times New Roman" w:cs="Times New Roman"/>
          <w:szCs w:val="24"/>
        </w:rPr>
      </w:pPr>
      <w:r>
        <w:rPr>
          <w:rFonts w:eastAsia="Times New Roman" w:cs="Times New Roman"/>
          <w:szCs w:val="24"/>
        </w:rPr>
        <w:t xml:space="preserve">(l) Provides that the Eleventh AJR is composed of the counties of Brazoria, Fort Bend, Galveston, Harris, Matagorda, and Wharton.   </w:t>
      </w:r>
    </w:p>
    <w:p w:rsidR="00B30527" w:rsidRPr="005C2A78" w:rsidRDefault="00B30527" w:rsidP="000F1DF9">
      <w:pPr>
        <w:spacing w:after="0" w:line="240" w:lineRule="auto"/>
        <w:jc w:val="both"/>
        <w:rPr>
          <w:rFonts w:eastAsia="Times New Roman" w:cs="Times New Roman"/>
          <w:szCs w:val="24"/>
        </w:rPr>
      </w:pPr>
    </w:p>
    <w:p w:rsidR="00B30527" w:rsidRPr="005C2A78" w:rsidRDefault="00B30527"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74.254(a), Government Code, to provide that the judicial committee for additional resources is composed of the chief justice of the Texas Supreme Court and the presiding judges, rather than the nine presiding judges, of the AJRs. </w:t>
      </w:r>
    </w:p>
    <w:p w:rsidR="00B30527" w:rsidRPr="005C2A78" w:rsidRDefault="00B30527" w:rsidP="000F1DF9">
      <w:pPr>
        <w:spacing w:after="0" w:line="240" w:lineRule="auto"/>
        <w:jc w:val="both"/>
        <w:rPr>
          <w:rFonts w:eastAsia="Times New Roman" w:cs="Times New Roman"/>
          <w:szCs w:val="24"/>
        </w:rPr>
      </w:pPr>
    </w:p>
    <w:p w:rsidR="00B30527" w:rsidRDefault="00B30527"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 Provides that the Tenth and Eleventh AJRs are created on September 1, 2017.</w:t>
      </w:r>
    </w:p>
    <w:p w:rsidR="00B30527" w:rsidRDefault="00B30527" w:rsidP="000F1DF9">
      <w:pPr>
        <w:spacing w:after="0" w:line="240" w:lineRule="auto"/>
        <w:jc w:val="both"/>
        <w:rPr>
          <w:rFonts w:eastAsia="Times New Roman" w:cs="Times New Roman"/>
          <w:szCs w:val="24"/>
        </w:rPr>
      </w:pPr>
    </w:p>
    <w:p w:rsidR="00B30527" w:rsidRDefault="00B30527" w:rsidP="004E035D">
      <w:pPr>
        <w:spacing w:after="0" w:line="240" w:lineRule="auto"/>
        <w:ind w:left="720"/>
        <w:jc w:val="both"/>
        <w:rPr>
          <w:rFonts w:eastAsia="Times New Roman" w:cs="Times New Roman"/>
          <w:szCs w:val="24"/>
        </w:rPr>
      </w:pPr>
      <w:r>
        <w:rPr>
          <w:rFonts w:eastAsia="Times New Roman" w:cs="Times New Roman"/>
          <w:szCs w:val="24"/>
        </w:rPr>
        <w:t xml:space="preserve">(b) Requires the governor, on September 1, 2017, and with the advice and consent of the senate, to appoint judges to serve as presiding judges in the Tenth and Eleventh AJRs and any AJR in which a vacancy in office occurs because the presiding judge of an AJR is no longer qualified to serve as the presiding judge of the AJR because of the composition of the AJR on that date. </w:t>
      </w:r>
    </w:p>
    <w:p w:rsidR="00B30527" w:rsidRDefault="00B30527" w:rsidP="004E035D">
      <w:pPr>
        <w:spacing w:after="0" w:line="240" w:lineRule="auto"/>
        <w:ind w:left="720"/>
        <w:jc w:val="both"/>
        <w:rPr>
          <w:rFonts w:eastAsia="Times New Roman" w:cs="Times New Roman"/>
          <w:szCs w:val="24"/>
        </w:rPr>
      </w:pPr>
    </w:p>
    <w:p w:rsidR="00B30527" w:rsidRDefault="00B30527" w:rsidP="004E035D">
      <w:pPr>
        <w:spacing w:after="0" w:line="240" w:lineRule="auto"/>
        <w:ind w:left="720"/>
        <w:jc w:val="both"/>
        <w:rPr>
          <w:rFonts w:eastAsia="Times New Roman" w:cs="Times New Roman"/>
          <w:szCs w:val="24"/>
        </w:rPr>
      </w:pPr>
      <w:r>
        <w:rPr>
          <w:rFonts w:eastAsia="Times New Roman" w:cs="Times New Roman"/>
          <w:szCs w:val="24"/>
        </w:rPr>
        <w:t xml:space="preserve">(c) Requires the county in which a presiding judge appointed under Subsection (b) resides, on September 1, 2017, to provide adequate quarters for the operation of the applicable AJR. </w:t>
      </w:r>
    </w:p>
    <w:p w:rsidR="00B30527" w:rsidRDefault="00B30527" w:rsidP="004E035D">
      <w:pPr>
        <w:spacing w:after="0" w:line="240" w:lineRule="auto"/>
        <w:ind w:left="720"/>
        <w:jc w:val="both"/>
        <w:rPr>
          <w:rFonts w:eastAsia="Times New Roman" w:cs="Times New Roman"/>
          <w:szCs w:val="24"/>
        </w:rPr>
      </w:pPr>
    </w:p>
    <w:p w:rsidR="00B30527" w:rsidRDefault="00B30527" w:rsidP="004E035D">
      <w:pPr>
        <w:spacing w:after="0" w:line="240" w:lineRule="auto"/>
        <w:ind w:left="720"/>
        <w:jc w:val="both"/>
        <w:rPr>
          <w:rFonts w:eastAsia="Times New Roman" w:cs="Times New Roman"/>
          <w:szCs w:val="24"/>
        </w:rPr>
      </w:pPr>
      <w:r>
        <w:rPr>
          <w:rFonts w:eastAsia="Times New Roman" w:cs="Times New Roman"/>
          <w:szCs w:val="24"/>
        </w:rPr>
        <w:t xml:space="preserve">(d) Provides that, not later than September 1, 2017, the regional presiding judges of the First through Ninth AJRs: </w:t>
      </w:r>
    </w:p>
    <w:p w:rsidR="00B30527" w:rsidRDefault="00B30527" w:rsidP="004E035D">
      <w:pPr>
        <w:spacing w:after="0" w:line="240" w:lineRule="auto"/>
        <w:ind w:left="720"/>
        <w:jc w:val="both"/>
        <w:rPr>
          <w:rFonts w:eastAsia="Times New Roman" w:cs="Times New Roman"/>
          <w:szCs w:val="24"/>
        </w:rPr>
      </w:pPr>
    </w:p>
    <w:p w:rsidR="00B30527" w:rsidRDefault="00B30527" w:rsidP="001A0CBA">
      <w:pPr>
        <w:spacing w:after="0" w:line="240" w:lineRule="auto"/>
        <w:ind w:left="1440"/>
        <w:jc w:val="both"/>
        <w:rPr>
          <w:rFonts w:eastAsia="Times New Roman" w:cs="Times New Roman"/>
          <w:szCs w:val="24"/>
        </w:rPr>
      </w:pPr>
      <w:r>
        <w:rPr>
          <w:rFonts w:eastAsia="Times New Roman" w:cs="Times New Roman"/>
          <w:szCs w:val="24"/>
        </w:rPr>
        <w:t xml:space="preserve">(1) are required to develop and adopt by majority vote budgets for the Tenth and Eleventh AJRs that include an assessment for each county included in the area that will comprise the new AJRs; and </w:t>
      </w:r>
    </w:p>
    <w:p w:rsidR="00B30527" w:rsidRDefault="00B30527" w:rsidP="001A0CBA">
      <w:pPr>
        <w:spacing w:after="0" w:line="240" w:lineRule="auto"/>
        <w:ind w:left="1440"/>
        <w:jc w:val="both"/>
        <w:rPr>
          <w:rFonts w:eastAsia="Times New Roman" w:cs="Times New Roman"/>
          <w:szCs w:val="24"/>
        </w:rPr>
      </w:pPr>
    </w:p>
    <w:p w:rsidR="00B30527" w:rsidRDefault="00B30527" w:rsidP="001A0CBA">
      <w:pPr>
        <w:spacing w:after="0" w:line="240" w:lineRule="auto"/>
        <w:ind w:left="1440"/>
        <w:jc w:val="both"/>
        <w:rPr>
          <w:rFonts w:eastAsia="Times New Roman" w:cs="Times New Roman"/>
          <w:szCs w:val="24"/>
        </w:rPr>
      </w:pPr>
      <w:r>
        <w:rPr>
          <w:rFonts w:eastAsia="Times New Roman" w:cs="Times New Roman"/>
          <w:szCs w:val="24"/>
        </w:rPr>
        <w:t xml:space="preserve">(2) may by majority vote transfer money, as necessary, from the existing AJRs to the Tenth and Eleventh AJRs. </w:t>
      </w:r>
    </w:p>
    <w:p w:rsidR="00B30527" w:rsidRDefault="00B30527" w:rsidP="001A0CBA">
      <w:pPr>
        <w:spacing w:after="0" w:line="240" w:lineRule="auto"/>
        <w:ind w:left="1440"/>
        <w:jc w:val="both"/>
        <w:rPr>
          <w:rFonts w:eastAsia="Times New Roman" w:cs="Times New Roman"/>
          <w:szCs w:val="24"/>
        </w:rPr>
      </w:pPr>
    </w:p>
    <w:p w:rsidR="00B30527" w:rsidRDefault="00B30527" w:rsidP="001A0CBA">
      <w:pPr>
        <w:spacing w:after="0" w:line="240" w:lineRule="auto"/>
        <w:ind w:left="720"/>
        <w:jc w:val="both"/>
        <w:rPr>
          <w:rFonts w:eastAsia="Times New Roman" w:cs="Times New Roman"/>
          <w:szCs w:val="24"/>
        </w:rPr>
      </w:pPr>
      <w:r>
        <w:rPr>
          <w:rFonts w:eastAsia="Times New Roman" w:cs="Times New Roman"/>
          <w:szCs w:val="24"/>
        </w:rPr>
        <w:t xml:space="preserve">(e) Provides that a judge or associate judge or coordinator assigned or appointed to a court in a county included in the First, Second, Third, Tenth, or Eleventh AJR on September 1, 2017, continues to serve in that position until removed by the regional presiding judge.  </w:t>
      </w:r>
    </w:p>
    <w:p w:rsidR="00B30527" w:rsidRDefault="00B30527" w:rsidP="004E035D">
      <w:pPr>
        <w:spacing w:after="0" w:line="240" w:lineRule="auto"/>
        <w:ind w:left="720"/>
        <w:jc w:val="both"/>
        <w:rPr>
          <w:rFonts w:eastAsia="Times New Roman" w:cs="Times New Roman"/>
          <w:szCs w:val="24"/>
        </w:rPr>
      </w:pPr>
    </w:p>
    <w:p w:rsidR="00B30527" w:rsidRPr="005C2A78" w:rsidRDefault="00B30527" w:rsidP="004E035D">
      <w:pPr>
        <w:spacing w:after="0" w:line="240" w:lineRule="auto"/>
        <w:jc w:val="both"/>
        <w:rPr>
          <w:rFonts w:eastAsia="Times New Roman" w:cs="Times New Roman"/>
          <w:szCs w:val="24"/>
        </w:rPr>
      </w:pPr>
      <w:r>
        <w:rPr>
          <w:rFonts w:eastAsia="Times New Roman" w:cs="Times New Roman"/>
          <w:szCs w:val="24"/>
        </w:rPr>
        <w:t xml:space="preserve">SECTION 4. Effective date, except as otherwise provided by this Act: upon passage or on the 91st day after the last day of the legislative session. </w:t>
      </w:r>
    </w:p>
    <w:p w:rsidR="00B30527" w:rsidRPr="004E035D" w:rsidRDefault="00B30527" w:rsidP="004E035D"/>
    <w:sectPr w:rsidR="00B30527" w:rsidRPr="004E035D"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F22" w:rsidRDefault="00876F22" w:rsidP="000F1DF9">
      <w:pPr>
        <w:spacing w:after="0" w:line="240" w:lineRule="auto"/>
      </w:pPr>
      <w:r>
        <w:separator/>
      </w:r>
    </w:p>
  </w:endnote>
  <w:endnote w:type="continuationSeparator" w:id="0">
    <w:p w:rsidR="00876F22" w:rsidRDefault="00876F2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76F2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30527">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30527">
                <w:rPr>
                  <w:sz w:val="20"/>
                  <w:szCs w:val="20"/>
                </w:rPr>
                <w:t>C.S.S.B. 1893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30527">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76F2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3052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30527">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F22" w:rsidRDefault="00876F22" w:rsidP="000F1DF9">
      <w:pPr>
        <w:spacing w:after="0" w:line="240" w:lineRule="auto"/>
      </w:pPr>
      <w:r>
        <w:separator/>
      </w:r>
    </w:p>
  </w:footnote>
  <w:footnote w:type="continuationSeparator" w:id="0">
    <w:p w:rsidR="00876F22" w:rsidRDefault="00876F2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6F22"/>
    <w:rsid w:val="008A6859"/>
    <w:rsid w:val="0093341F"/>
    <w:rsid w:val="00986E9F"/>
    <w:rsid w:val="00AE3F44"/>
    <w:rsid w:val="00B30527"/>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30527"/>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3052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59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E7504" w:rsidP="004E7504">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85E45378662429CBC5022FE863309B0"/>
        <w:category>
          <w:name w:val="General"/>
          <w:gallery w:val="placeholder"/>
        </w:category>
        <w:types>
          <w:type w:val="bbPlcHdr"/>
        </w:types>
        <w:behaviors>
          <w:behavior w:val="content"/>
        </w:behaviors>
        <w:guid w:val="{92C6B90F-2287-4A82-8D8B-4E49982F5C7B}"/>
      </w:docPartPr>
      <w:docPartBody>
        <w:p w:rsidR="00000000" w:rsidRDefault="009D2FB5"/>
      </w:docPartBody>
    </w:docPart>
    <w:docPart>
      <w:docPartPr>
        <w:name w:val="12BEB97DA00B41FC9577AA3D487324A4"/>
        <w:category>
          <w:name w:val="General"/>
          <w:gallery w:val="placeholder"/>
        </w:category>
        <w:types>
          <w:type w:val="bbPlcHdr"/>
        </w:types>
        <w:behaviors>
          <w:behavior w:val="content"/>
        </w:behaviors>
        <w:guid w:val="{B6C93648-7B60-45F6-964F-560C02768701}"/>
      </w:docPartPr>
      <w:docPartBody>
        <w:p w:rsidR="00000000" w:rsidRDefault="009D2FB5"/>
      </w:docPartBody>
    </w:docPart>
    <w:docPart>
      <w:docPartPr>
        <w:name w:val="8B370983D8584D1D8AEBB7DD4A32E87A"/>
        <w:category>
          <w:name w:val="General"/>
          <w:gallery w:val="placeholder"/>
        </w:category>
        <w:types>
          <w:type w:val="bbPlcHdr"/>
        </w:types>
        <w:behaviors>
          <w:behavior w:val="content"/>
        </w:behaviors>
        <w:guid w:val="{555D4851-592C-4CB2-B16B-A127492C720C}"/>
      </w:docPartPr>
      <w:docPartBody>
        <w:p w:rsidR="00000000" w:rsidRDefault="009D2FB5"/>
      </w:docPartBody>
    </w:docPart>
    <w:docPart>
      <w:docPartPr>
        <w:name w:val="BE2E5BA2404E4709BC9AD96E5EE4EBC4"/>
        <w:category>
          <w:name w:val="General"/>
          <w:gallery w:val="placeholder"/>
        </w:category>
        <w:types>
          <w:type w:val="bbPlcHdr"/>
        </w:types>
        <w:behaviors>
          <w:behavior w:val="content"/>
        </w:behaviors>
        <w:guid w:val="{DAD298B7-C912-4953-8EE3-841D5383D891}"/>
      </w:docPartPr>
      <w:docPartBody>
        <w:p w:rsidR="00000000" w:rsidRDefault="009D2FB5"/>
      </w:docPartBody>
    </w:docPart>
    <w:docPart>
      <w:docPartPr>
        <w:name w:val="384C59A6428641FB8A95443690B1C916"/>
        <w:category>
          <w:name w:val="General"/>
          <w:gallery w:val="placeholder"/>
        </w:category>
        <w:types>
          <w:type w:val="bbPlcHdr"/>
        </w:types>
        <w:behaviors>
          <w:behavior w:val="content"/>
        </w:behaviors>
        <w:guid w:val="{4419E9C8-FB92-4893-85A3-A057EBD1EA79}"/>
      </w:docPartPr>
      <w:docPartBody>
        <w:p w:rsidR="00000000" w:rsidRDefault="009D2FB5"/>
      </w:docPartBody>
    </w:docPart>
    <w:docPart>
      <w:docPartPr>
        <w:name w:val="EE54C9F604224BC0B2E5ACA257FFC0A3"/>
        <w:category>
          <w:name w:val="General"/>
          <w:gallery w:val="placeholder"/>
        </w:category>
        <w:types>
          <w:type w:val="bbPlcHdr"/>
        </w:types>
        <w:behaviors>
          <w:behavior w:val="content"/>
        </w:behaviors>
        <w:guid w:val="{F43BF5A6-0A24-4926-8B87-587CEB652146}"/>
      </w:docPartPr>
      <w:docPartBody>
        <w:p w:rsidR="00000000" w:rsidRDefault="009D2FB5"/>
      </w:docPartBody>
    </w:docPart>
    <w:docPart>
      <w:docPartPr>
        <w:name w:val="5F0033A6F68E469483299144EC8BDCE6"/>
        <w:category>
          <w:name w:val="General"/>
          <w:gallery w:val="placeholder"/>
        </w:category>
        <w:types>
          <w:type w:val="bbPlcHdr"/>
        </w:types>
        <w:behaviors>
          <w:behavior w:val="content"/>
        </w:behaviors>
        <w:guid w:val="{FBD8B610-0571-4D90-A0FA-B54F83FFCCCD}"/>
      </w:docPartPr>
      <w:docPartBody>
        <w:p w:rsidR="00000000" w:rsidRDefault="009D2FB5"/>
      </w:docPartBody>
    </w:docPart>
    <w:docPart>
      <w:docPartPr>
        <w:name w:val="CB43F793A3854A9D89F0DAD4B4C92446"/>
        <w:category>
          <w:name w:val="General"/>
          <w:gallery w:val="placeholder"/>
        </w:category>
        <w:types>
          <w:type w:val="bbPlcHdr"/>
        </w:types>
        <w:behaviors>
          <w:behavior w:val="content"/>
        </w:behaviors>
        <w:guid w:val="{90247A4A-EEC4-4EAF-AAF1-BB07ED183893}"/>
      </w:docPartPr>
      <w:docPartBody>
        <w:p w:rsidR="00000000" w:rsidRDefault="009D2FB5"/>
      </w:docPartBody>
    </w:docPart>
    <w:docPart>
      <w:docPartPr>
        <w:name w:val="EEAA8AD8C90E4B13807B4A6363D57E88"/>
        <w:category>
          <w:name w:val="General"/>
          <w:gallery w:val="placeholder"/>
        </w:category>
        <w:types>
          <w:type w:val="bbPlcHdr"/>
        </w:types>
        <w:behaviors>
          <w:behavior w:val="content"/>
        </w:behaviors>
        <w:guid w:val="{C1770B23-BE92-47B3-A073-06FFA05E2FF9}"/>
      </w:docPartPr>
      <w:docPartBody>
        <w:p w:rsidR="00000000" w:rsidRDefault="004E7504" w:rsidP="004E7504">
          <w:pPr>
            <w:pStyle w:val="EEAA8AD8C90E4B13807B4A6363D57E88"/>
          </w:pPr>
          <w:r w:rsidRPr="00A30DD1">
            <w:rPr>
              <w:rStyle w:val="PlaceholderText"/>
            </w:rPr>
            <w:t>Click here to enter a date.</w:t>
          </w:r>
        </w:p>
      </w:docPartBody>
    </w:docPart>
    <w:docPart>
      <w:docPartPr>
        <w:name w:val="F922DF00585A40DE8034F704E9213234"/>
        <w:category>
          <w:name w:val="General"/>
          <w:gallery w:val="placeholder"/>
        </w:category>
        <w:types>
          <w:type w:val="bbPlcHdr"/>
        </w:types>
        <w:behaviors>
          <w:behavior w:val="content"/>
        </w:behaviors>
        <w:guid w:val="{24E92BA8-E734-46AA-8475-6AEDC72DEBBE}"/>
      </w:docPartPr>
      <w:docPartBody>
        <w:p w:rsidR="00000000" w:rsidRDefault="009D2FB5"/>
      </w:docPartBody>
    </w:docPart>
    <w:docPart>
      <w:docPartPr>
        <w:name w:val="058434ED393B49FF8A87741F320F55F1"/>
        <w:category>
          <w:name w:val="General"/>
          <w:gallery w:val="placeholder"/>
        </w:category>
        <w:types>
          <w:type w:val="bbPlcHdr"/>
        </w:types>
        <w:behaviors>
          <w:behavior w:val="content"/>
        </w:behaviors>
        <w:guid w:val="{718A6823-B3B9-42B9-B8A0-872D5559B6BA}"/>
      </w:docPartPr>
      <w:docPartBody>
        <w:p w:rsidR="00000000" w:rsidRDefault="009D2FB5"/>
      </w:docPartBody>
    </w:docPart>
    <w:docPart>
      <w:docPartPr>
        <w:name w:val="BAFD2247B7204AED8477B10A8566FD6F"/>
        <w:category>
          <w:name w:val="General"/>
          <w:gallery w:val="placeholder"/>
        </w:category>
        <w:types>
          <w:type w:val="bbPlcHdr"/>
        </w:types>
        <w:behaviors>
          <w:behavior w:val="content"/>
        </w:behaviors>
        <w:guid w:val="{F4CAF275-7BE1-497F-8D22-A46A9971E3B8}"/>
      </w:docPartPr>
      <w:docPartBody>
        <w:p w:rsidR="00000000" w:rsidRDefault="004E7504" w:rsidP="004E7504">
          <w:pPr>
            <w:pStyle w:val="BAFD2247B7204AED8477B10A8566FD6F"/>
          </w:pPr>
          <w:r>
            <w:rPr>
              <w:rFonts w:eastAsia="Times New Roman" w:cs="Times New Roman"/>
              <w:bCs/>
              <w:szCs w:val="24"/>
            </w:rPr>
            <w:t xml:space="preserve"> </w:t>
          </w:r>
        </w:p>
      </w:docPartBody>
    </w:docPart>
    <w:docPart>
      <w:docPartPr>
        <w:name w:val="DEA7A0CC368140ADA437A93C2C6492D5"/>
        <w:category>
          <w:name w:val="General"/>
          <w:gallery w:val="placeholder"/>
        </w:category>
        <w:types>
          <w:type w:val="bbPlcHdr"/>
        </w:types>
        <w:behaviors>
          <w:behavior w:val="content"/>
        </w:behaviors>
        <w:guid w:val="{DA17F945-4FBC-4508-ADA8-BE504C4A8DFE}"/>
      </w:docPartPr>
      <w:docPartBody>
        <w:p w:rsidR="00000000" w:rsidRDefault="009D2FB5"/>
      </w:docPartBody>
    </w:docPart>
    <w:docPart>
      <w:docPartPr>
        <w:name w:val="EB6139B559254FBC8C8553E8A893F763"/>
        <w:category>
          <w:name w:val="General"/>
          <w:gallery w:val="placeholder"/>
        </w:category>
        <w:types>
          <w:type w:val="bbPlcHdr"/>
        </w:types>
        <w:behaviors>
          <w:behavior w:val="content"/>
        </w:behaviors>
        <w:guid w:val="{C39AC6A3-A1C7-4326-891B-979CDC3A8951}"/>
      </w:docPartPr>
      <w:docPartBody>
        <w:p w:rsidR="00000000" w:rsidRDefault="009D2F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E7504"/>
    <w:rsid w:val="00576003"/>
    <w:rsid w:val="005B408E"/>
    <w:rsid w:val="005D31F2"/>
    <w:rsid w:val="00635291"/>
    <w:rsid w:val="006959CC"/>
    <w:rsid w:val="00696675"/>
    <w:rsid w:val="006B0016"/>
    <w:rsid w:val="008C55F7"/>
    <w:rsid w:val="0090598B"/>
    <w:rsid w:val="00984D6C"/>
    <w:rsid w:val="009D2FB5"/>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50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E7504"/>
    <w:rPr>
      <w:rFonts w:ascii="Times New Roman" w:hAnsi="Times New Roman"/>
      <w:sz w:val="24"/>
    </w:rPr>
  </w:style>
  <w:style w:type="paragraph" w:customStyle="1" w:styleId="487D89B4F8B34DB4967D41FE18F7F88D7">
    <w:name w:val="487D89B4F8B34DB4967D41FE18F7F88D7"/>
    <w:rsid w:val="004E7504"/>
    <w:rPr>
      <w:rFonts w:ascii="Times New Roman" w:hAnsi="Times New Roman"/>
      <w:sz w:val="24"/>
    </w:rPr>
  </w:style>
  <w:style w:type="paragraph" w:customStyle="1" w:styleId="AE2570ED5D764CD7AF9686706F550F4620">
    <w:name w:val="AE2570ED5D764CD7AF9686706F550F4620"/>
    <w:rsid w:val="004E7504"/>
    <w:pPr>
      <w:tabs>
        <w:tab w:val="center" w:pos="4680"/>
        <w:tab w:val="right" w:pos="9360"/>
      </w:tabs>
      <w:spacing w:after="0" w:line="240" w:lineRule="auto"/>
    </w:pPr>
    <w:rPr>
      <w:rFonts w:ascii="Times New Roman" w:hAnsi="Times New Roman"/>
      <w:sz w:val="24"/>
    </w:rPr>
  </w:style>
  <w:style w:type="paragraph" w:customStyle="1" w:styleId="EEAA8AD8C90E4B13807B4A6363D57E88">
    <w:name w:val="EEAA8AD8C90E4B13807B4A6363D57E88"/>
    <w:rsid w:val="004E7504"/>
  </w:style>
  <w:style w:type="paragraph" w:customStyle="1" w:styleId="BAFD2247B7204AED8477B10A8566FD6F">
    <w:name w:val="BAFD2247B7204AED8477B10A8566FD6F"/>
    <w:rsid w:val="004E75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50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E7504"/>
    <w:rPr>
      <w:rFonts w:ascii="Times New Roman" w:hAnsi="Times New Roman"/>
      <w:sz w:val="24"/>
    </w:rPr>
  </w:style>
  <w:style w:type="paragraph" w:customStyle="1" w:styleId="487D89B4F8B34DB4967D41FE18F7F88D7">
    <w:name w:val="487D89B4F8B34DB4967D41FE18F7F88D7"/>
    <w:rsid w:val="004E7504"/>
    <w:rPr>
      <w:rFonts w:ascii="Times New Roman" w:hAnsi="Times New Roman"/>
      <w:sz w:val="24"/>
    </w:rPr>
  </w:style>
  <w:style w:type="paragraph" w:customStyle="1" w:styleId="AE2570ED5D764CD7AF9686706F550F4620">
    <w:name w:val="AE2570ED5D764CD7AF9686706F550F4620"/>
    <w:rsid w:val="004E7504"/>
    <w:pPr>
      <w:tabs>
        <w:tab w:val="center" w:pos="4680"/>
        <w:tab w:val="right" w:pos="9360"/>
      </w:tabs>
      <w:spacing w:after="0" w:line="240" w:lineRule="auto"/>
    </w:pPr>
    <w:rPr>
      <w:rFonts w:ascii="Times New Roman" w:hAnsi="Times New Roman"/>
      <w:sz w:val="24"/>
    </w:rPr>
  </w:style>
  <w:style w:type="paragraph" w:customStyle="1" w:styleId="EEAA8AD8C90E4B13807B4A6363D57E88">
    <w:name w:val="EEAA8AD8C90E4B13807B4A6363D57E88"/>
    <w:rsid w:val="004E7504"/>
  </w:style>
  <w:style w:type="paragraph" w:customStyle="1" w:styleId="BAFD2247B7204AED8477B10A8566FD6F">
    <w:name w:val="BAFD2247B7204AED8477B10A8566FD6F"/>
    <w:rsid w:val="004E7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787B14F-D6E3-43E9-856E-D33376DB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809</Words>
  <Characters>4614</Characters>
  <Application>Microsoft Office Word</Application>
  <DocSecurity>0</DocSecurity>
  <Lines>38</Lines>
  <Paragraphs>10</Paragraphs>
  <ScaleCrop>false</ScaleCrop>
  <Company>Texas Legislative Council</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2017-04-27T13:15:00Z</cp:lastPrinted>
  <dcterms:created xsi:type="dcterms:W3CDTF">2015-05-29T14:24:00Z</dcterms:created>
  <dcterms:modified xsi:type="dcterms:W3CDTF">2017-04-27T13:15:00Z</dcterms:modified>
</cp:coreProperties>
</file>

<file path=docProps/custom.xml><?xml version="1.0" encoding="utf-8"?>
<op:Properties xmlns:vt="http://schemas.openxmlformats.org/officeDocument/2006/docPropsVTypes" xmlns:op="http://schemas.openxmlformats.org/officeDocument/2006/custom-properties"/>
</file>