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B" w:rsidRDefault="00D11AB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207C5B2BCE542C58C134E80065A2DD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D11ABB" w:rsidRPr="00585C31" w:rsidRDefault="00D11ABB" w:rsidP="000F1DF9">
      <w:pPr>
        <w:spacing w:after="0" w:line="240" w:lineRule="auto"/>
        <w:rPr>
          <w:rFonts w:cs="Times New Roman"/>
          <w:szCs w:val="24"/>
        </w:rPr>
      </w:pPr>
    </w:p>
    <w:p w:rsidR="00D11ABB" w:rsidRPr="00585C31" w:rsidRDefault="00D11AB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D11ABB" w:rsidTr="000F1DF9">
        <w:tc>
          <w:tcPr>
            <w:tcW w:w="2718" w:type="dxa"/>
          </w:tcPr>
          <w:p w:rsidR="00D11ABB" w:rsidRPr="005C2A78" w:rsidRDefault="00D11AB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1EBCF73A4B1E401DB2E3E7BAD85B49B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D11ABB" w:rsidRPr="00FF6471" w:rsidRDefault="00D11AB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39D7CA5D0EA646859DAB3ED0FF33A40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2150</w:t>
                </w:r>
              </w:sdtContent>
            </w:sdt>
          </w:p>
        </w:tc>
      </w:tr>
      <w:tr w:rsidR="00D11AB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5ED39FCA608B4CA2814625583B7DE35C"/>
            </w:placeholder>
          </w:sdtPr>
          <w:sdtContent>
            <w:tc>
              <w:tcPr>
                <w:tcW w:w="2718" w:type="dxa"/>
              </w:tcPr>
              <w:p w:rsidR="00D11ABB" w:rsidRPr="000F1DF9" w:rsidRDefault="00D11AB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85R5473 CLG-F</w:t>
                </w:r>
              </w:p>
            </w:tc>
          </w:sdtContent>
        </w:sdt>
        <w:tc>
          <w:tcPr>
            <w:tcW w:w="6858" w:type="dxa"/>
          </w:tcPr>
          <w:p w:rsidR="00D11ABB" w:rsidRPr="005C2A78" w:rsidRDefault="00D11AB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B99FFE138024E3E89112BAD8F00859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E9C338BBA12E4FA493D129765746F324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Huffman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5CB1A5D3E484E3B999F73905AF3507D"/>
                </w:placeholder>
                <w:showingPlcHdr/>
              </w:sdtPr>
              <w:sdtContent/>
            </w:sdt>
          </w:p>
        </w:tc>
      </w:tr>
      <w:tr w:rsidR="00D11ABB" w:rsidTr="000F1DF9">
        <w:tc>
          <w:tcPr>
            <w:tcW w:w="2718" w:type="dxa"/>
          </w:tcPr>
          <w:p w:rsidR="00D11ABB" w:rsidRPr="00BC7495" w:rsidRDefault="00D11AB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B3A87DFBA3F457692DD9C0B4BA1ADE7"/>
            </w:placeholder>
          </w:sdtPr>
          <w:sdtContent>
            <w:tc>
              <w:tcPr>
                <w:tcW w:w="6858" w:type="dxa"/>
              </w:tcPr>
              <w:p w:rsidR="00D11ABB" w:rsidRPr="00FF6471" w:rsidRDefault="00D11AB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D11ABB" w:rsidTr="000F1DF9">
        <w:tc>
          <w:tcPr>
            <w:tcW w:w="2718" w:type="dxa"/>
          </w:tcPr>
          <w:p w:rsidR="00D11ABB" w:rsidRPr="00BC7495" w:rsidRDefault="00D11AB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E9CFA57D7BA445EA94AF5547FBA04E1"/>
            </w:placeholder>
            <w:date w:fullDate="2017-04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D11ABB" w:rsidRPr="00FF6471" w:rsidRDefault="00D11AB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4/4/2017</w:t>
                </w:r>
              </w:p>
            </w:tc>
          </w:sdtContent>
        </w:sdt>
      </w:tr>
      <w:tr w:rsidR="00D11ABB" w:rsidTr="000F1DF9">
        <w:tc>
          <w:tcPr>
            <w:tcW w:w="2718" w:type="dxa"/>
          </w:tcPr>
          <w:p w:rsidR="00D11ABB" w:rsidRPr="00BC7495" w:rsidRDefault="00D11AB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B46B1EB98F6F49C0A6BC392E4ED35C6E"/>
            </w:placeholder>
          </w:sdtPr>
          <w:sdtContent>
            <w:tc>
              <w:tcPr>
                <w:tcW w:w="6858" w:type="dxa"/>
              </w:tcPr>
              <w:p w:rsidR="00D11ABB" w:rsidRPr="00FF6471" w:rsidRDefault="00D11AB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D11ABB" w:rsidRPr="00FF6471" w:rsidRDefault="00D11ABB" w:rsidP="000F1DF9">
      <w:pPr>
        <w:spacing w:after="0" w:line="240" w:lineRule="auto"/>
        <w:rPr>
          <w:rFonts w:cs="Times New Roman"/>
          <w:szCs w:val="24"/>
        </w:rPr>
      </w:pPr>
    </w:p>
    <w:p w:rsidR="00D11ABB" w:rsidRPr="00FF6471" w:rsidRDefault="00D11ABB" w:rsidP="000F1DF9">
      <w:pPr>
        <w:spacing w:after="0" w:line="240" w:lineRule="auto"/>
        <w:rPr>
          <w:rFonts w:cs="Times New Roman"/>
          <w:szCs w:val="24"/>
        </w:rPr>
      </w:pPr>
    </w:p>
    <w:p w:rsidR="00D11ABB" w:rsidRPr="00FF6471" w:rsidRDefault="00D11AB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582CDE7C08543008169DEC98FF406E5"/>
        </w:placeholder>
      </w:sdtPr>
      <w:sdtContent>
        <w:p w:rsidR="00D11ABB" w:rsidRDefault="00D11AB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D1D0B8087AF46009BFF2563F8C0369C"/>
        </w:placeholder>
      </w:sdtPr>
      <w:sdtContent>
        <w:p w:rsidR="00D11ABB" w:rsidRDefault="00D11ABB" w:rsidP="00A04D40">
          <w:pPr>
            <w:pStyle w:val="NormalWeb"/>
            <w:spacing w:before="0" w:beforeAutospacing="0" w:after="0" w:afterAutospacing="0"/>
            <w:jc w:val="both"/>
            <w:divId w:val="1922518287"/>
            <w:rPr>
              <w:rFonts w:eastAsia="Times New Roman"/>
              <w:bCs/>
            </w:rPr>
          </w:pPr>
        </w:p>
        <w:p w:rsidR="00D11ABB" w:rsidRDefault="00D11ABB" w:rsidP="00A04D40">
          <w:pPr>
            <w:pStyle w:val="NormalWeb"/>
            <w:spacing w:before="0" w:beforeAutospacing="0" w:after="0" w:afterAutospacing="0"/>
            <w:jc w:val="both"/>
            <w:divId w:val="1922518287"/>
            <w:rPr>
              <w:color w:val="000000"/>
            </w:rPr>
          </w:pPr>
          <w:r w:rsidRPr="006C62BD">
            <w:rPr>
              <w:color w:val="000000"/>
            </w:rPr>
            <w:t>Generally, in Texas,</w:t>
          </w:r>
          <w:r>
            <w:rPr>
              <w:color w:val="000000"/>
            </w:rPr>
            <w:t xml:space="preserve"> if a beneficiary of a will or transfer on death d</w:t>
          </w:r>
          <w:r w:rsidRPr="006C62BD">
            <w:rPr>
              <w:color w:val="000000"/>
            </w:rPr>
            <w:t xml:space="preserve">eed predeceases the individual who is gifting the property, the gift to that beneficiary lapses, or becomes void. But, under the anti-lapse statute, certain gifts will instead go to the descendants of the predeceasing beneficiary. </w:t>
          </w:r>
        </w:p>
        <w:p w:rsidR="00D11ABB" w:rsidRPr="006C62BD" w:rsidRDefault="00D11ABB" w:rsidP="00A04D40">
          <w:pPr>
            <w:pStyle w:val="NormalWeb"/>
            <w:spacing w:before="0" w:beforeAutospacing="0" w:after="0" w:afterAutospacing="0"/>
            <w:jc w:val="both"/>
            <w:divId w:val="1922518287"/>
            <w:rPr>
              <w:color w:val="000000"/>
            </w:rPr>
          </w:pPr>
        </w:p>
        <w:p w:rsidR="00D11ABB" w:rsidRDefault="00D11ABB" w:rsidP="00A04D40">
          <w:pPr>
            <w:pStyle w:val="NormalWeb"/>
            <w:spacing w:before="0" w:beforeAutospacing="0" w:after="0" w:afterAutospacing="0"/>
            <w:jc w:val="both"/>
            <w:divId w:val="1922518287"/>
            <w:rPr>
              <w:color w:val="000000"/>
            </w:rPr>
          </w:pPr>
          <w:r>
            <w:rPr>
              <w:color w:val="000000"/>
            </w:rPr>
            <w:t xml:space="preserve">Section 114.103(a)(2), </w:t>
          </w:r>
          <w:r w:rsidRPr="006C62BD">
            <w:rPr>
              <w:color w:val="000000"/>
            </w:rPr>
            <w:t>Estates Code</w:t>
          </w:r>
          <w:r>
            <w:rPr>
              <w:color w:val="000000"/>
            </w:rPr>
            <w:t>,</w:t>
          </w:r>
          <w:r w:rsidRPr="006C62BD">
            <w:rPr>
              <w:color w:val="000000"/>
            </w:rPr>
            <w:t xml:space="preserve"> needs to be amended to specify that the a</w:t>
          </w:r>
          <w:r>
            <w:rPr>
              <w:color w:val="000000"/>
            </w:rPr>
            <w:t>nti-lapse statute applies to a transfer on death d</w:t>
          </w:r>
          <w:r w:rsidRPr="006C62BD">
            <w:rPr>
              <w:color w:val="000000"/>
            </w:rPr>
            <w:t>eed regardless of the number of beneficiaries an individual designates. Currently, as the statute reads, the anti-lapse statute only applies in cases in which the deceased individual designated more than one beneficiary on the deed.</w:t>
          </w:r>
        </w:p>
        <w:p w:rsidR="00D11ABB" w:rsidRPr="006C62BD" w:rsidRDefault="00D11ABB" w:rsidP="00A04D40">
          <w:pPr>
            <w:pStyle w:val="NormalWeb"/>
            <w:spacing w:before="0" w:beforeAutospacing="0" w:after="0" w:afterAutospacing="0"/>
            <w:jc w:val="both"/>
            <w:divId w:val="1922518287"/>
            <w:rPr>
              <w:color w:val="000000"/>
            </w:rPr>
          </w:pPr>
        </w:p>
        <w:p w:rsidR="00D11ABB" w:rsidRPr="006C62BD" w:rsidRDefault="00D11ABB" w:rsidP="00A04D40">
          <w:pPr>
            <w:pStyle w:val="NormalWeb"/>
            <w:spacing w:before="0" w:beforeAutospacing="0" w:after="0" w:afterAutospacing="0"/>
            <w:jc w:val="both"/>
            <w:divId w:val="1922518287"/>
            <w:rPr>
              <w:color w:val="000000"/>
            </w:rPr>
          </w:pPr>
          <w:r w:rsidRPr="006C62BD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6C62BD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6C62BD">
            <w:rPr>
              <w:color w:val="000000"/>
            </w:rPr>
            <w:t xml:space="preserve"> 2150 ensure</w:t>
          </w:r>
          <w:r>
            <w:rPr>
              <w:color w:val="000000"/>
            </w:rPr>
            <w:t>s</w:t>
          </w:r>
          <w:r w:rsidRPr="006C62BD">
            <w:rPr>
              <w:color w:val="000000"/>
            </w:rPr>
            <w:t xml:space="preserve"> that the anti-lapse statute</w:t>
          </w:r>
          <w:r>
            <w:rPr>
              <w:color w:val="000000"/>
            </w:rPr>
            <w:t>, by default, applies in all transfer on death d</w:t>
          </w:r>
          <w:r w:rsidRPr="006C62BD">
            <w:rPr>
              <w:color w:val="000000"/>
            </w:rPr>
            <w:t>eed cases by eliminating Section 114.103(a)(4)</w:t>
          </w:r>
          <w:r>
            <w:rPr>
              <w:color w:val="000000"/>
            </w:rPr>
            <w:t xml:space="preserve">, </w:t>
          </w:r>
          <w:r w:rsidRPr="006C62BD">
            <w:rPr>
              <w:color w:val="000000"/>
            </w:rPr>
            <w:t>Estates Code. This bill also make</w:t>
          </w:r>
          <w:r>
            <w:rPr>
              <w:color w:val="000000"/>
            </w:rPr>
            <w:t>s</w:t>
          </w:r>
          <w:r w:rsidRPr="006C62BD">
            <w:rPr>
              <w:color w:val="000000"/>
            </w:rPr>
            <w:t xml:space="preserve"> relevant changes to the forms codified in Subchapter D</w:t>
          </w:r>
          <w:r>
            <w:rPr>
              <w:color w:val="000000"/>
            </w:rPr>
            <w:t xml:space="preserve">, </w:t>
          </w:r>
          <w:r w:rsidRPr="006C62BD">
            <w:rPr>
              <w:color w:val="000000"/>
            </w:rPr>
            <w:t>Section 114.151</w:t>
          </w:r>
          <w:r>
            <w:rPr>
              <w:color w:val="000000"/>
            </w:rPr>
            <w:t>,</w:t>
          </w:r>
          <w:r w:rsidRPr="006C62BD">
            <w:rPr>
              <w:color w:val="000000"/>
            </w:rPr>
            <w:t xml:space="preserve"> </w:t>
          </w:r>
          <w:r>
            <w:rPr>
              <w:color w:val="000000"/>
            </w:rPr>
            <w:t>Estates Code</w:t>
          </w:r>
          <w:r w:rsidRPr="006C62BD">
            <w:rPr>
              <w:color w:val="000000"/>
            </w:rPr>
            <w:t xml:space="preserve">. </w:t>
          </w:r>
        </w:p>
        <w:p w:rsidR="00D11ABB" w:rsidRPr="00D70925" w:rsidRDefault="00D11ABB" w:rsidP="00A04D40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D11ABB" w:rsidRDefault="00D11AB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2150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revocable deed that transfers real property at the transferor's death.</w:t>
      </w:r>
    </w:p>
    <w:p w:rsidR="00D11ABB" w:rsidRPr="00CD1F96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1ABB" w:rsidRPr="005C2A78" w:rsidRDefault="00D11AB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601F1D518C954BBB8655EB5E4F5B915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D11ABB" w:rsidRPr="006529C4" w:rsidRDefault="00D11AB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1ABB" w:rsidRPr="006529C4" w:rsidRDefault="00D11AB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D11ABB" w:rsidRPr="006529C4" w:rsidRDefault="00D11AB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1ABB" w:rsidRPr="005C2A78" w:rsidRDefault="00D11AB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26F2612A6524B4B9D65FFC30E375D0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D11ABB" w:rsidRPr="005C2A78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1ABB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114.103(a), Estates Code, as follows:</w:t>
      </w:r>
    </w:p>
    <w:p w:rsidR="00D11ABB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1ABB" w:rsidRDefault="00D11ABB" w:rsidP="00CD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Provides that, e</w:t>
      </w:r>
      <w:r w:rsidRPr="00CD1F96">
        <w:rPr>
          <w:rFonts w:eastAsia="Times New Roman" w:cs="Times New Roman"/>
          <w:szCs w:val="24"/>
        </w:rPr>
        <w:t>xcept as otherwise provided in the transfer on death deed, this section, or any other statute or the common law of this state governing a decedent's estate, on the death of the transferor, the following rules apply to an interest in real property that is the subject of a transfer on death deed and owned by the transferor at death</w:t>
      </w:r>
      <w:r>
        <w:rPr>
          <w:rFonts w:eastAsia="Times New Roman" w:cs="Times New Roman"/>
          <w:szCs w:val="24"/>
        </w:rPr>
        <w:t>:</w:t>
      </w:r>
    </w:p>
    <w:p w:rsidR="00D11ABB" w:rsidRDefault="00D11ABB" w:rsidP="00CD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D11ABB" w:rsidRDefault="00D11ABB" w:rsidP="00CD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(1) makes no changes to this subdivision;</w:t>
      </w:r>
    </w:p>
    <w:p w:rsidR="00D11ABB" w:rsidRDefault="00D11ABB" w:rsidP="00CD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11ABB" w:rsidRDefault="00D11ABB" w:rsidP="00CD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(2) </w:t>
      </w:r>
      <w:r w:rsidRPr="00CD1F96">
        <w:rPr>
          <w:rFonts w:eastAsia="Times New Roman" w:cs="Times New Roman"/>
          <w:szCs w:val="24"/>
        </w:rPr>
        <w:t>the share of any designated beneficiary that fails to survive the transferor by 120 hours lapses, notwithstanding Section 111.052</w:t>
      </w:r>
      <w:r>
        <w:rPr>
          <w:rFonts w:eastAsia="Times New Roman" w:cs="Times New Roman"/>
          <w:szCs w:val="24"/>
        </w:rPr>
        <w:t xml:space="preserve"> (Validity of Certain Nontestamentary Instruments and Provisions)</w:t>
      </w:r>
      <w:r w:rsidRPr="00CD1F96">
        <w:rPr>
          <w:rFonts w:eastAsia="Times New Roman" w:cs="Times New Roman"/>
          <w:szCs w:val="24"/>
        </w:rPr>
        <w:t>, and is subject to and passes in accordance with Subchapter D</w:t>
      </w:r>
      <w:r>
        <w:rPr>
          <w:rFonts w:eastAsia="Times New Roman" w:cs="Times New Roman"/>
          <w:szCs w:val="24"/>
        </w:rPr>
        <w:t xml:space="preserve"> (Failure of Devise; Disposition of Property to Devisee who Predeceases Testator)</w:t>
      </w:r>
      <w:r w:rsidRPr="00CD1F96">
        <w:rPr>
          <w:rFonts w:eastAsia="Times New Roman" w:cs="Times New Roman"/>
          <w:szCs w:val="24"/>
        </w:rPr>
        <w:t>, Chapter 255</w:t>
      </w:r>
      <w:r>
        <w:rPr>
          <w:rFonts w:eastAsia="Times New Roman" w:cs="Times New Roman"/>
          <w:szCs w:val="24"/>
        </w:rPr>
        <w:t xml:space="preserve"> (Construction and Interpretation of Wills)</w:t>
      </w:r>
      <w:r w:rsidRPr="00CD1F96">
        <w:rPr>
          <w:rFonts w:eastAsia="Times New Roman" w:cs="Times New Roman"/>
          <w:szCs w:val="24"/>
        </w:rPr>
        <w:t>, as if the transfer on death deed were a devise made in a will</w:t>
      </w:r>
      <w:r>
        <w:rPr>
          <w:rFonts w:eastAsia="Times New Roman" w:cs="Times New Roman"/>
          <w:szCs w:val="24"/>
        </w:rPr>
        <w:t>, rather than the interest of a designated beneficiary that fails to survive the transferor by 120 hours lapses, notwithstanding Section 111.052</w:t>
      </w:r>
      <w:r w:rsidRPr="00CD1F96">
        <w:rPr>
          <w:rFonts w:eastAsia="Times New Roman" w:cs="Times New Roman"/>
          <w:szCs w:val="24"/>
        </w:rPr>
        <w:t>; and</w:t>
      </w:r>
    </w:p>
    <w:p w:rsidR="00D11ABB" w:rsidRDefault="00D11ABB" w:rsidP="00CD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11ABB" w:rsidRDefault="00D11ABB" w:rsidP="00CD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(3) makes nonsubstantive and conforming changes to this subdivision.</w:t>
      </w:r>
    </w:p>
    <w:p w:rsidR="00D11ABB" w:rsidRDefault="00D11ABB" w:rsidP="00CD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D11ABB" w:rsidRPr="005C2A78" w:rsidRDefault="00D11ABB" w:rsidP="00CD1F96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(4) deletes existing Subdivision (4), relating to procedures if the transferor has identified two or more designated beneficiaries. </w:t>
      </w:r>
    </w:p>
    <w:p w:rsidR="00D11ABB" w:rsidRPr="005C2A78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1ABB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CD1F96">
        <w:rPr>
          <w:rFonts w:eastAsia="Times New Roman" w:cs="Times New Roman"/>
          <w:szCs w:val="24"/>
        </w:rPr>
        <w:t xml:space="preserve"> Section 114.151, Estates Code,</w:t>
      </w:r>
      <w:r>
        <w:rPr>
          <w:rFonts w:eastAsia="Times New Roman" w:cs="Times New Roman"/>
          <w:szCs w:val="24"/>
        </w:rPr>
        <w:t xml:space="preserve"> as follows: </w:t>
      </w:r>
    </w:p>
    <w:p w:rsidR="00D11ABB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1ABB" w:rsidRPr="005C2A78" w:rsidRDefault="00D11ABB" w:rsidP="00CD1F96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CD1F96">
        <w:rPr>
          <w:rFonts w:eastAsia="Times New Roman" w:cs="Times New Roman"/>
          <w:szCs w:val="24"/>
        </w:rPr>
        <w:t>Sec. 114.151.  OPTIONAL F</w:t>
      </w:r>
      <w:r>
        <w:rPr>
          <w:rFonts w:eastAsia="Times New Roman" w:cs="Times New Roman"/>
          <w:szCs w:val="24"/>
        </w:rPr>
        <w:t>ORM FOR TRANSFER ON DEATH DEED. Authorizes and sets forth a certain form to</w:t>
      </w:r>
      <w:r w:rsidRPr="00CD1F96">
        <w:rPr>
          <w:rFonts w:eastAsia="Times New Roman" w:cs="Times New Roman"/>
          <w:szCs w:val="24"/>
        </w:rPr>
        <w:t xml:space="preserve"> be used to create a transfer on death deed.</w:t>
      </w:r>
      <w:r>
        <w:rPr>
          <w:rFonts w:eastAsia="Times New Roman" w:cs="Times New Roman"/>
          <w:szCs w:val="24"/>
        </w:rPr>
        <w:t xml:space="preserve"> </w:t>
      </w:r>
    </w:p>
    <w:p w:rsidR="00D11ABB" w:rsidRPr="005C2A78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1ABB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Makes application of this Act prospective.</w:t>
      </w:r>
    </w:p>
    <w:p w:rsidR="00D11ABB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D11ABB" w:rsidRPr="005C2A78" w:rsidRDefault="00D11AB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SECTION 4. Effective date: September 1, 2017.</w:t>
      </w:r>
    </w:p>
    <w:p w:rsidR="00D11ABB" w:rsidRPr="006529C4" w:rsidRDefault="00D11AB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D11ABB" w:rsidRPr="006529C4" w:rsidRDefault="00D11ABB" w:rsidP="00774EC7">
      <w:pPr>
        <w:spacing w:after="0" w:line="240" w:lineRule="auto"/>
        <w:jc w:val="both"/>
      </w:pPr>
    </w:p>
    <w:sectPr w:rsidR="00D11ABB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40" w:rsidRDefault="003E6140" w:rsidP="000F1DF9">
      <w:pPr>
        <w:spacing w:after="0" w:line="240" w:lineRule="auto"/>
      </w:pPr>
      <w:r>
        <w:separator/>
      </w:r>
    </w:p>
  </w:endnote>
  <w:endnote w:type="continuationSeparator" w:id="0">
    <w:p w:rsidR="003E6140" w:rsidRDefault="003E614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3E614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D11ABB">
                <w:rPr>
                  <w:sz w:val="20"/>
                  <w:szCs w:val="20"/>
                </w:rPr>
                <w:t>ZJA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D11ABB">
                <w:rPr>
                  <w:sz w:val="20"/>
                  <w:szCs w:val="20"/>
                </w:rPr>
                <w:t>S.B. 2150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D11AB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3E614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D11AB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D11AB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40" w:rsidRDefault="003E6140" w:rsidP="000F1DF9">
      <w:pPr>
        <w:spacing w:after="0" w:line="240" w:lineRule="auto"/>
      </w:pPr>
      <w:r>
        <w:separator/>
      </w:r>
    </w:p>
  </w:footnote>
  <w:footnote w:type="continuationSeparator" w:id="0">
    <w:p w:rsidR="003E6140" w:rsidRDefault="003E614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3E6140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11ABB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1AB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1AB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D66E12" w:rsidP="00D66E12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207C5B2BCE542C58C134E80065A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DAFC-D963-4023-991D-F668D8D71D9C}"/>
      </w:docPartPr>
      <w:docPartBody>
        <w:p w:rsidR="00000000" w:rsidRDefault="00211697"/>
      </w:docPartBody>
    </w:docPart>
    <w:docPart>
      <w:docPartPr>
        <w:name w:val="1EBCF73A4B1E401DB2E3E7BAD85B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A271-88D3-4836-9827-A56AAFFE623A}"/>
      </w:docPartPr>
      <w:docPartBody>
        <w:p w:rsidR="00000000" w:rsidRDefault="00211697"/>
      </w:docPartBody>
    </w:docPart>
    <w:docPart>
      <w:docPartPr>
        <w:name w:val="39D7CA5D0EA646859DAB3ED0FF33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FBAC0-6EDF-48D5-A848-D554136F9A4D}"/>
      </w:docPartPr>
      <w:docPartBody>
        <w:p w:rsidR="00000000" w:rsidRDefault="00211697"/>
      </w:docPartBody>
    </w:docPart>
    <w:docPart>
      <w:docPartPr>
        <w:name w:val="5ED39FCA608B4CA2814625583B7DE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8770-B7E3-4E3E-85AF-50E566F460B0}"/>
      </w:docPartPr>
      <w:docPartBody>
        <w:p w:rsidR="00000000" w:rsidRDefault="00211697"/>
      </w:docPartBody>
    </w:docPart>
    <w:docPart>
      <w:docPartPr>
        <w:name w:val="BB99FFE138024E3E89112BAD8F008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B511-98A4-4C19-99BE-8B9813B50F1E}"/>
      </w:docPartPr>
      <w:docPartBody>
        <w:p w:rsidR="00000000" w:rsidRDefault="00211697"/>
      </w:docPartBody>
    </w:docPart>
    <w:docPart>
      <w:docPartPr>
        <w:name w:val="E9C338BBA12E4FA493D129765746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FC1E-4ADA-41A7-A9D2-22FF3D14422E}"/>
      </w:docPartPr>
      <w:docPartBody>
        <w:p w:rsidR="00000000" w:rsidRDefault="00211697"/>
      </w:docPartBody>
    </w:docPart>
    <w:docPart>
      <w:docPartPr>
        <w:name w:val="85CB1A5D3E484E3B999F73905AF3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C4185-3A4C-4BB9-B0EC-F5C9C5923259}"/>
      </w:docPartPr>
      <w:docPartBody>
        <w:p w:rsidR="00000000" w:rsidRDefault="00211697"/>
      </w:docPartBody>
    </w:docPart>
    <w:docPart>
      <w:docPartPr>
        <w:name w:val="EB3A87DFBA3F457692DD9C0B4BA1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126A-CD01-485B-B8B1-992063E55D11}"/>
      </w:docPartPr>
      <w:docPartBody>
        <w:p w:rsidR="00000000" w:rsidRDefault="00211697"/>
      </w:docPartBody>
    </w:docPart>
    <w:docPart>
      <w:docPartPr>
        <w:name w:val="EE9CFA57D7BA445EA94AF5547FBA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546C-BAC7-47D2-9F71-EF0FB37F945C}"/>
      </w:docPartPr>
      <w:docPartBody>
        <w:p w:rsidR="00000000" w:rsidRDefault="00D66E12" w:rsidP="00D66E12">
          <w:pPr>
            <w:pStyle w:val="EE9CFA57D7BA445EA94AF5547FBA04E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B46B1EB98F6F49C0A6BC392E4ED3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B632-D200-4219-AD24-D8BFC164ADDF}"/>
      </w:docPartPr>
      <w:docPartBody>
        <w:p w:rsidR="00000000" w:rsidRDefault="00211697"/>
      </w:docPartBody>
    </w:docPart>
    <w:docPart>
      <w:docPartPr>
        <w:name w:val="6582CDE7C08543008169DEC98FF4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A0172-74D2-4BB3-8299-FC7162814D4F}"/>
      </w:docPartPr>
      <w:docPartBody>
        <w:p w:rsidR="00000000" w:rsidRDefault="00211697"/>
      </w:docPartBody>
    </w:docPart>
    <w:docPart>
      <w:docPartPr>
        <w:name w:val="1D1D0B8087AF46009BFF2563F8C03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055A-2D9E-4793-8CBF-05784A5B3514}"/>
      </w:docPartPr>
      <w:docPartBody>
        <w:p w:rsidR="00000000" w:rsidRDefault="00D66E12" w:rsidP="00D66E12">
          <w:pPr>
            <w:pStyle w:val="1D1D0B8087AF46009BFF2563F8C0369C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601F1D518C954BBB8655EB5E4F5B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46C9-BE49-4FD4-9C10-0FDA7FE0A38B}"/>
      </w:docPartPr>
      <w:docPartBody>
        <w:p w:rsidR="00000000" w:rsidRDefault="00211697"/>
      </w:docPartBody>
    </w:docPart>
    <w:docPart>
      <w:docPartPr>
        <w:name w:val="926F2612A6524B4B9D65FFC30E37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CCF6-82D3-4F9B-8355-D9F251BC7361}"/>
      </w:docPartPr>
      <w:docPartBody>
        <w:p w:rsidR="00000000" w:rsidRDefault="0021169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11697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66E12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E1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66E1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66E1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66E1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E9CFA57D7BA445EA94AF5547FBA04E1">
    <w:name w:val="EE9CFA57D7BA445EA94AF5547FBA04E1"/>
    <w:rsid w:val="00D66E12"/>
  </w:style>
  <w:style w:type="paragraph" w:customStyle="1" w:styleId="1D1D0B8087AF46009BFF2563F8C0369C">
    <w:name w:val="1D1D0B8087AF46009BFF2563F8C0369C"/>
    <w:rsid w:val="00D66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6E1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D66E12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D66E12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D66E1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E9CFA57D7BA445EA94AF5547FBA04E1">
    <w:name w:val="EE9CFA57D7BA445EA94AF5547FBA04E1"/>
    <w:rsid w:val="00D66E12"/>
  </w:style>
  <w:style w:type="paragraph" w:customStyle="1" w:styleId="1D1D0B8087AF46009BFF2563F8C0369C">
    <w:name w:val="1D1D0B8087AF46009BFF2563F8C0369C"/>
    <w:rsid w:val="00D66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0C74F2F-BCF0-4247-9825-F3DFB2FB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448</Words>
  <Characters>2556</Characters>
  <Application>Microsoft Office Word</Application>
  <DocSecurity>0</DocSecurity>
  <Lines>21</Lines>
  <Paragraphs>5</Paragraphs>
  <ScaleCrop>false</ScaleCrop>
  <Company>Texas Legislative Council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Zoe Ang</cp:lastModifiedBy>
  <cp:revision>153</cp:revision>
  <cp:lastPrinted>2017-04-04T23:42:00Z</cp:lastPrinted>
  <dcterms:created xsi:type="dcterms:W3CDTF">2015-05-29T14:24:00Z</dcterms:created>
  <dcterms:modified xsi:type="dcterms:W3CDTF">2017-04-04T23:42:00Z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