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2F63" w:rsidTr="00345119">
        <w:tc>
          <w:tcPr>
            <w:tcW w:w="9576" w:type="dxa"/>
            <w:noWrap/>
          </w:tcPr>
          <w:p w:rsidR="008423E4" w:rsidRPr="0022177D" w:rsidRDefault="00A01CC6" w:rsidP="00345119">
            <w:pPr>
              <w:pStyle w:val="Heading1"/>
            </w:pPr>
            <w:bookmarkStart w:id="0" w:name="_GoBack"/>
            <w:bookmarkEnd w:id="0"/>
            <w:r w:rsidRPr="00631897">
              <w:t>BILL ANALYSIS</w:t>
            </w:r>
          </w:p>
        </w:tc>
      </w:tr>
    </w:tbl>
    <w:p w:rsidR="008423E4" w:rsidRPr="0022177D" w:rsidRDefault="00A01CC6" w:rsidP="008423E4">
      <w:pPr>
        <w:jc w:val="center"/>
      </w:pPr>
    </w:p>
    <w:p w:rsidR="008423E4" w:rsidRPr="00B31F0E" w:rsidRDefault="00A01CC6" w:rsidP="008423E4"/>
    <w:p w:rsidR="008423E4" w:rsidRPr="00742794" w:rsidRDefault="00A01CC6" w:rsidP="008423E4">
      <w:pPr>
        <w:tabs>
          <w:tab w:val="right" w:pos="9360"/>
        </w:tabs>
      </w:pPr>
    </w:p>
    <w:tbl>
      <w:tblPr>
        <w:tblW w:w="0" w:type="auto"/>
        <w:tblLayout w:type="fixed"/>
        <w:tblLook w:val="01E0" w:firstRow="1" w:lastRow="1" w:firstColumn="1" w:lastColumn="1" w:noHBand="0" w:noVBand="0"/>
      </w:tblPr>
      <w:tblGrid>
        <w:gridCol w:w="9576"/>
      </w:tblGrid>
      <w:tr w:rsidR="009F2F63" w:rsidTr="00345119">
        <w:tc>
          <w:tcPr>
            <w:tcW w:w="9576" w:type="dxa"/>
          </w:tcPr>
          <w:p w:rsidR="008423E4" w:rsidRPr="00861995" w:rsidRDefault="00A01CC6" w:rsidP="00345119">
            <w:pPr>
              <w:jc w:val="right"/>
            </w:pPr>
            <w:r>
              <w:t>S.B. 2166</w:t>
            </w:r>
          </w:p>
        </w:tc>
      </w:tr>
      <w:tr w:rsidR="009F2F63" w:rsidTr="00345119">
        <w:tc>
          <w:tcPr>
            <w:tcW w:w="9576" w:type="dxa"/>
          </w:tcPr>
          <w:p w:rsidR="008423E4" w:rsidRPr="00861995" w:rsidRDefault="00A01CC6" w:rsidP="00215C16">
            <w:pPr>
              <w:jc w:val="right"/>
            </w:pPr>
            <w:r>
              <w:t xml:space="preserve">By: </w:t>
            </w:r>
            <w:r>
              <w:t>Creighton</w:t>
            </w:r>
          </w:p>
        </w:tc>
      </w:tr>
      <w:tr w:rsidR="009F2F63" w:rsidTr="00345119">
        <w:tc>
          <w:tcPr>
            <w:tcW w:w="9576" w:type="dxa"/>
          </w:tcPr>
          <w:p w:rsidR="008423E4" w:rsidRPr="00861995" w:rsidRDefault="00A01CC6" w:rsidP="00345119">
            <w:pPr>
              <w:jc w:val="right"/>
            </w:pPr>
            <w:r>
              <w:t>Ways &amp; Means</w:t>
            </w:r>
          </w:p>
        </w:tc>
      </w:tr>
      <w:tr w:rsidR="009F2F63" w:rsidTr="00345119">
        <w:tc>
          <w:tcPr>
            <w:tcW w:w="9576" w:type="dxa"/>
          </w:tcPr>
          <w:p w:rsidR="008423E4" w:rsidRDefault="00A01CC6" w:rsidP="00345119">
            <w:pPr>
              <w:jc w:val="right"/>
            </w:pPr>
            <w:r>
              <w:t>Committee Report (Unamended)</w:t>
            </w:r>
          </w:p>
        </w:tc>
      </w:tr>
    </w:tbl>
    <w:p w:rsidR="008423E4" w:rsidRDefault="00A01CC6" w:rsidP="008423E4">
      <w:pPr>
        <w:tabs>
          <w:tab w:val="right" w:pos="9360"/>
        </w:tabs>
      </w:pPr>
    </w:p>
    <w:p w:rsidR="008423E4" w:rsidRDefault="00A01CC6" w:rsidP="008423E4"/>
    <w:p w:rsidR="008423E4" w:rsidRDefault="00A01CC6" w:rsidP="008423E4"/>
    <w:tbl>
      <w:tblPr>
        <w:tblW w:w="0" w:type="auto"/>
        <w:tblCellMar>
          <w:left w:w="115" w:type="dxa"/>
          <w:right w:w="115" w:type="dxa"/>
        </w:tblCellMar>
        <w:tblLook w:val="01E0" w:firstRow="1" w:lastRow="1" w:firstColumn="1" w:lastColumn="1" w:noHBand="0" w:noVBand="0"/>
      </w:tblPr>
      <w:tblGrid>
        <w:gridCol w:w="9576"/>
      </w:tblGrid>
      <w:tr w:rsidR="009F2F63" w:rsidTr="00345119">
        <w:tc>
          <w:tcPr>
            <w:tcW w:w="9576" w:type="dxa"/>
          </w:tcPr>
          <w:p w:rsidR="008423E4" w:rsidRPr="00A8133F" w:rsidRDefault="00A01CC6" w:rsidP="00031149">
            <w:pPr>
              <w:rPr>
                <w:b/>
              </w:rPr>
            </w:pPr>
            <w:r w:rsidRPr="009C1E9A">
              <w:rPr>
                <w:b/>
                <w:u w:val="single"/>
              </w:rPr>
              <w:t>BACKGROUND AND PURPOSE</w:t>
            </w:r>
            <w:r>
              <w:rPr>
                <w:b/>
              </w:rPr>
              <w:t xml:space="preserve"> </w:t>
            </w:r>
          </w:p>
          <w:p w:rsidR="008423E4" w:rsidRDefault="00A01CC6" w:rsidP="00031149"/>
          <w:p w:rsidR="008423E4" w:rsidRDefault="00A01CC6" w:rsidP="00031149">
            <w:pPr>
              <w:pStyle w:val="Header"/>
              <w:jc w:val="both"/>
            </w:pPr>
            <w:r>
              <w:t xml:space="preserve">Interested parties suggest that granting certain municipalities, such as the City of Shenandoah, the authority to use municipal hotel </w:t>
            </w:r>
            <w:r>
              <w:t>occupancy tax revenue on a multiuse facility with a sports component would</w:t>
            </w:r>
            <w:r>
              <w:t xml:space="preserve"> improve the quality of life </w:t>
            </w:r>
            <w:r>
              <w:t xml:space="preserve">in the city </w:t>
            </w:r>
            <w:r>
              <w:t xml:space="preserve">and </w:t>
            </w:r>
            <w:r>
              <w:t>increase the municipalities' ability</w:t>
            </w:r>
            <w:r>
              <w:t xml:space="preserve"> to contribute to </w:t>
            </w:r>
            <w:r>
              <w:t>their</w:t>
            </w:r>
            <w:r>
              <w:t xml:space="preserve"> </w:t>
            </w:r>
            <w:r>
              <w:t>respective c</w:t>
            </w:r>
            <w:r>
              <w:t>ount</w:t>
            </w:r>
            <w:r>
              <w:t>ies</w:t>
            </w:r>
            <w:r>
              <w:t xml:space="preserve"> </w:t>
            </w:r>
            <w:r>
              <w:t xml:space="preserve">and </w:t>
            </w:r>
            <w:r>
              <w:t>Texas</w:t>
            </w:r>
            <w:r>
              <w:t xml:space="preserve"> at large</w:t>
            </w:r>
            <w:r>
              <w:t>.</w:t>
            </w:r>
            <w:r>
              <w:t xml:space="preserve"> </w:t>
            </w:r>
            <w:r w:rsidRPr="00A654FB">
              <w:t>S.B. 2166</w:t>
            </w:r>
            <w:r>
              <w:t xml:space="preserve"> seeks to grant that authori</w:t>
            </w:r>
            <w:r>
              <w:t>ty.</w:t>
            </w:r>
          </w:p>
          <w:p w:rsidR="008423E4" w:rsidRPr="00E26B13" w:rsidRDefault="00A01CC6" w:rsidP="00031149">
            <w:pPr>
              <w:rPr>
                <w:b/>
              </w:rPr>
            </w:pPr>
          </w:p>
        </w:tc>
      </w:tr>
      <w:tr w:rsidR="009F2F63" w:rsidTr="00345119">
        <w:tc>
          <w:tcPr>
            <w:tcW w:w="9576" w:type="dxa"/>
          </w:tcPr>
          <w:p w:rsidR="0017725B" w:rsidRDefault="00A01CC6" w:rsidP="00031149">
            <w:pPr>
              <w:rPr>
                <w:b/>
                <w:u w:val="single"/>
              </w:rPr>
            </w:pPr>
            <w:r>
              <w:rPr>
                <w:b/>
                <w:u w:val="single"/>
              </w:rPr>
              <w:t>CRIMINAL JUSTICE IMPACT</w:t>
            </w:r>
          </w:p>
          <w:p w:rsidR="0017725B" w:rsidRDefault="00A01CC6" w:rsidP="00031149">
            <w:pPr>
              <w:rPr>
                <w:b/>
                <w:u w:val="single"/>
              </w:rPr>
            </w:pPr>
          </w:p>
          <w:p w:rsidR="00174D2F" w:rsidRPr="00174D2F" w:rsidRDefault="00A01CC6" w:rsidP="00031149">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A01CC6" w:rsidP="00031149">
            <w:pPr>
              <w:rPr>
                <w:b/>
                <w:u w:val="single"/>
              </w:rPr>
            </w:pPr>
          </w:p>
        </w:tc>
      </w:tr>
      <w:tr w:rsidR="009F2F63" w:rsidTr="00345119">
        <w:tc>
          <w:tcPr>
            <w:tcW w:w="9576" w:type="dxa"/>
          </w:tcPr>
          <w:p w:rsidR="008423E4" w:rsidRPr="00A8133F" w:rsidRDefault="00A01CC6" w:rsidP="00031149">
            <w:pPr>
              <w:rPr>
                <w:b/>
              </w:rPr>
            </w:pPr>
            <w:r w:rsidRPr="009C1E9A">
              <w:rPr>
                <w:b/>
                <w:u w:val="single"/>
              </w:rPr>
              <w:t>RULEMAKING AUTHORITY</w:t>
            </w:r>
            <w:r>
              <w:rPr>
                <w:b/>
              </w:rPr>
              <w:t xml:space="preserve"> </w:t>
            </w:r>
          </w:p>
          <w:p w:rsidR="008423E4" w:rsidRDefault="00A01CC6" w:rsidP="00031149"/>
          <w:p w:rsidR="00174D2F" w:rsidRDefault="00A01CC6" w:rsidP="0003114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01CC6" w:rsidP="00031149">
            <w:pPr>
              <w:rPr>
                <w:b/>
              </w:rPr>
            </w:pPr>
          </w:p>
        </w:tc>
      </w:tr>
      <w:tr w:rsidR="009F2F63" w:rsidTr="00345119">
        <w:tc>
          <w:tcPr>
            <w:tcW w:w="9576" w:type="dxa"/>
          </w:tcPr>
          <w:p w:rsidR="008423E4" w:rsidRPr="00A8133F" w:rsidRDefault="00A01CC6" w:rsidP="00031149">
            <w:pPr>
              <w:rPr>
                <w:b/>
              </w:rPr>
            </w:pPr>
            <w:r w:rsidRPr="009C1E9A">
              <w:rPr>
                <w:b/>
                <w:u w:val="single"/>
              </w:rPr>
              <w:t>ANALYSIS</w:t>
            </w:r>
            <w:r>
              <w:rPr>
                <w:b/>
              </w:rPr>
              <w:t xml:space="preserve"> </w:t>
            </w:r>
          </w:p>
          <w:p w:rsidR="008423E4" w:rsidRDefault="00A01CC6" w:rsidP="00031149"/>
          <w:p w:rsidR="008423E4" w:rsidRDefault="00A01CC6" w:rsidP="00031149">
            <w:pPr>
              <w:pStyle w:val="Header"/>
              <w:jc w:val="both"/>
            </w:pPr>
            <w:r w:rsidRPr="00A654FB">
              <w:t>S.B. 2166</w:t>
            </w:r>
            <w:r>
              <w:t xml:space="preserve"> amends the Tax Code to authorize a municipality with a population of 6,500 or less that has at least 800 hotel rooms within the corporate boundaries of the municipality and that is located in a county adjacent to a county with a population of 3.3 million </w:t>
            </w:r>
            <w:r>
              <w:t>or more to use revenue derived from the municipal hotel occupancy tax to directly enhance and promote tourism and the convention and hotel industry by acquiring sites for and constructing, improving, enlarging, equipping, repairing, operating, and maintain</w:t>
            </w:r>
            <w:r>
              <w:t xml:space="preserve">ing a municipally owned convention center facility; </w:t>
            </w:r>
            <w:r>
              <w:t xml:space="preserve">a municipally owned </w:t>
            </w:r>
            <w:r>
              <w:t>sports-related facility with seating for at least 4,500 people that is used or is planned for use for one or more professional or amateur sports events or other events, including rodeo</w:t>
            </w:r>
            <w:r>
              <w:t xml:space="preserve">s, livestock shows, and performing arts events; </w:t>
            </w:r>
            <w:r>
              <w:t xml:space="preserve">a municipally owned </w:t>
            </w:r>
            <w:r>
              <w:t xml:space="preserve">multiuse facility that includes </w:t>
            </w:r>
            <w:r>
              <w:t xml:space="preserve">such </w:t>
            </w:r>
            <w:r>
              <w:t xml:space="preserve">a </w:t>
            </w:r>
            <w:r>
              <w:t xml:space="preserve">convention center </w:t>
            </w:r>
            <w:r>
              <w:t xml:space="preserve">facility and </w:t>
            </w:r>
            <w:r>
              <w:t>sports-related facilit</w:t>
            </w:r>
            <w:r>
              <w:t>y</w:t>
            </w:r>
            <w:r>
              <w:t>; and</w:t>
            </w:r>
            <w:r>
              <w:t xml:space="preserve"> </w:t>
            </w:r>
            <w:r>
              <w:t xml:space="preserve">related infrastructure for </w:t>
            </w:r>
            <w:r>
              <w:t xml:space="preserve">all </w:t>
            </w:r>
            <w:r>
              <w:t xml:space="preserve">such </w:t>
            </w:r>
            <w:r>
              <w:t>facilit</w:t>
            </w:r>
            <w:r>
              <w:t>ies</w:t>
            </w:r>
            <w:r>
              <w:t xml:space="preserve"> for a venue</w:t>
            </w:r>
            <w:r>
              <w:t xml:space="preserve">. The bill </w:t>
            </w:r>
            <w:r>
              <w:t>authorizes a</w:t>
            </w:r>
            <w:r>
              <w:t>n applic</w:t>
            </w:r>
            <w:r>
              <w:t>able</w:t>
            </w:r>
            <w:r>
              <w:t xml:space="preserve"> municipality that issues </w:t>
            </w:r>
            <w:r w:rsidRPr="002E36BB">
              <w:t xml:space="preserve">obligations secured wholly or partly by revenue derived from the </w:t>
            </w:r>
            <w:r>
              <w:t>municipal hotel occupancy tax</w:t>
            </w:r>
            <w:r w:rsidRPr="002E36BB">
              <w:t xml:space="preserve"> for a use</w:t>
            </w:r>
            <w:r>
              <w:t xml:space="preserve"> authorized by the bill</w:t>
            </w:r>
            <w:r w:rsidRPr="002E36BB">
              <w:t xml:space="preserve"> </w:t>
            </w:r>
            <w:r>
              <w:t>to</w:t>
            </w:r>
            <w:r w:rsidRPr="002E36BB">
              <w:t xml:space="preserve"> use that revenue for those uses as long as the obligations are outstanding even if the municipa</w:t>
            </w:r>
            <w:r w:rsidRPr="002E36BB">
              <w:t xml:space="preserve">lity is no longer a municipality </w:t>
            </w:r>
            <w:r>
              <w:t>subject to applicability</w:t>
            </w:r>
            <w:r>
              <w:t>.</w:t>
            </w:r>
          </w:p>
          <w:p w:rsidR="00E8610E" w:rsidRPr="00835628" w:rsidRDefault="00A01CC6" w:rsidP="00031149">
            <w:pPr>
              <w:pStyle w:val="Header"/>
              <w:jc w:val="both"/>
              <w:rPr>
                <w:b/>
              </w:rPr>
            </w:pPr>
          </w:p>
        </w:tc>
      </w:tr>
      <w:tr w:rsidR="009F2F63" w:rsidTr="00345119">
        <w:tc>
          <w:tcPr>
            <w:tcW w:w="9576" w:type="dxa"/>
          </w:tcPr>
          <w:p w:rsidR="008423E4" w:rsidRPr="00A8133F" w:rsidRDefault="00A01CC6" w:rsidP="00031149">
            <w:pPr>
              <w:rPr>
                <w:b/>
              </w:rPr>
            </w:pPr>
            <w:r w:rsidRPr="009C1E9A">
              <w:rPr>
                <w:b/>
                <w:u w:val="single"/>
              </w:rPr>
              <w:t>EFFECTIVE DATE</w:t>
            </w:r>
            <w:r>
              <w:rPr>
                <w:b/>
              </w:rPr>
              <w:t xml:space="preserve"> </w:t>
            </w:r>
          </w:p>
          <w:p w:rsidR="008423E4" w:rsidRDefault="00A01CC6" w:rsidP="00031149"/>
          <w:p w:rsidR="008423E4" w:rsidRPr="00E8610E" w:rsidRDefault="00A01CC6" w:rsidP="00031149">
            <w:pPr>
              <w:pStyle w:val="Header"/>
              <w:tabs>
                <w:tab w:val="clear" w:pos="4320"/>
                <w:tab w:val="clear" w:pos="8640"/>
              </w:tabs>
              <w:jc w:val="both"/>
            </w:pPr>
            <w:r>
              <w:t>On passage, or, if the bill does not receive the necessary vote, September 1, 2017.</w:t>
            </w:r>
          </w:p>
        </w:tc>
      </w:tr>
    </w:tbl>
    <w:p w:rsidR="008423E4" w:rsidRPr="00BE0E75" w:rsidRDefault="00A01CC6" w:rsidP="008423E4">
      <w:pPr>
        <w:spacing w:line="480" w:lineRule="auto"/>
        <w:jc w:val="both"/>
        <w:rPr>
          <w:rFonts w:ascii="Arial" w:hAnsi="Arial"/>
          <w:sz w:val="16"/>
          <w:szCs w:val="16"/>
        </w:rPr>
      </w:pPr>
    </w:p>
    <w:p w:rsidR="004108C3" w:rsidRPr="008423E4" w:rsidRDefault="00A01CC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1CC6">
      <w:r>
        <w:separator/>
      </w:r>
    </w:p>
  </w:endnote>
  <w:endnote w:type="continuationSeparator" w:id="0">
    <w:p w:rsidR="00000000" w:rsidRDefault="00A0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E7" w:rsidRDefault="00A01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2F63" w:rsidTr="009C1E9A">
      <w:trPr>
        <w:cantSplit/>
      </w:trPr>
      <w:tc>
        <w:tcPr>
          <w:tcW w:w="0" w:type="pct"/>
        </w:tcPr>
        <w:p w:rsidR="00137D90" w:rsidRDefault="00A01CC6" w:rsidP="009C1E9A">
          <w:pPr>
            <w:pStyle w:val="Footer"/>
            <w:tabs>
              <w:tab w:val="clear" w:pos="8640"/>
              <w:tab w:val="right" w:pos="9360"/>
            </w:tabs>
          </w:pPr>
        </w:p>
      </w:tc>
      <w:tc>
        <w:tcPr>
          <w:tcW w:w="2395" w:type="pct"/>
        </w:tcPr>
        <w:p w:rsidR="00137D90" w:rsidRDefault="00A01CC6" w:rsidP="009C1E9A">
          <w:pPr>
            <w:pStyle w:val="Footer"/>
            <w:tabs>
              <w:tab w:val="clear" w:pos="8640"/>
              <w:tab w:val="right" w:pos="9360"/>
            </w:tabs>
          </w:pPr>
        </w:p>
        <w:p w:rsidR="001A4310" w:rsidRDefault="00A01CC6" w:rsidP="009C1E9A">
          <w:pPr>
            <w:pStyle w:val="Footer"/>
            <w:tabs>
              <w:tab w:val="clear" w:pos="8640"/>
              <w:tab w:val="right" w:pos="9360"/>
            </w:tabs>
          </w:pPr>
        </w:p>
        <w:p w:rsidR="00137D90" w:rsidRDefault="00A01CC6" w:rsidP="009C1E9A">
          <w:pPr>
            <w:pStyle w:val="Footer"/>
            <w:tabs>
              <w:tab w:val="clear" w:pos="8640"/>
              <w:tab w:val="right" w:pos="9360"/>
            </w:tabs>
          </w:pPr>
        </w:p>
      </w:tc>
      <w:tc>
        <w:tcPr>
          <w:tcW w:w="2453" w:type="pct"/>
        </w:tcPr>
        <w:p w:rsidR="00137D90" w:rsidRDefault="00A01CC6" w:rsidP="009C1E9A">
          <w:pPr>
            <w:pStyle w:val="Footer"/>
            <w:tabs>
              <w:tab w:val="clear" w:pos="8640"/>
              <w:tab w:val="right" w:pos="9360"/>
            </w:tabs>
            <w:jc w:val="right"/>
          </w:pPr>
        </w:p>
      </w:tc>
    </w:tr>
    <w:tr w:rsidR="009F2F63" w:rsidTr="009C1E9A">
      <w:trPr>
        <w:cantSplit/>
      </w:trPr>
      <w:tc>
        <w:tcPr>
          <w:tcW w:w="0" w:type="pct"/>
        </w:tcPr>
        <w:p w:rsidR="00EC379B" w:rsidRDefault="00A01CC6" w:rsidP="009C1E9A">
          <w:pPr>
            <w:pStyle w:val="Footer"/>
            <w:tabs>
              <w:tab w:val="clear" w:pos="8640"/>
              <w:tab w:val="right" w:pos="9360"/>
            </w:tabs>
          </w:pPr>
        </w:p>
      </w:tc>
      <w:tc>
        <w:tcPr>
          <w:tcW w:w="2395" w:type="pct"/>
        </w:tcPr>
        <w:p w:rsidR="00EC379B" w:rsidRPr="009C1E9A" w:rsidRDefault="00A01CC6" w:rsidP="009C1E9A">
          <w:pPr>
            <w:pStyle w:val="Footer"/>
            <w:tabs>
              <w:tab w:val="clear" w:pos="8640"/>
              <w:tab w:val="right" w:pos="9360"/>
            </w:tabs>
            <w:rPr>
              <w:rFonts w:ascii="Shruti" w:hAnsi="Shruti"/>
              <w:sz w:val="22"/>
            </w:rPr>
          </w:pPr>
          <w:r>
            <w:rPr>
              <w:rFonts w:ascii="Shruti" w:hAnsi="Shruti"/>
              <w:sz w:val="22"/>
            </w:rPr>
            <w:t>85R 30986</w:t>
          </w:r>
        </w:p>
      </w:tc>
      <w:tc>
        <w:tcPr>
          <w:tcW w:w="2453" w:type="pct"/>
        </w:tcPr>
        <w:p w:rsidR="00EC379B" w:rsidRDefault="00A01CC6" w:rsidP="009C1E9A">
          <w:pPr>
            <w:pStyle w:val="Footer"/>
            <w:tabs>
              <w:tab w:val="clear" w:pos="8640"/>
              <w:tab w:val="right" w:pos="9360"/>
            </w:tabs>
            <w:jc w:val="right"/>
          </w:pPr>
          <w:r>
            <w:fldChar w:fldCharType="begin"/>
          </w:r>
          <w:r>
            <w:instrText xml:space="preserve"> DOCPROPERTY  OTID  \* MERGEFORMAT </w:instrText>
          </w:r>
          <w:r>
            <w:fldChar w:fldCharType="separate"/>
          </w:r>
          <w:r>
            <w:t>17.135.399</w:t>
          </w:r>
          <w:r>
            <w:fldChar w:fldCharType="end"/>
          </w:r>
        </w:p>
      </w:tc>
    </w:tr>
    <w:tr w:rsidR="009F2F63" w:rsidTr="009C1E9A">
      <w:trPr>
        <w:cantSplit/>
      </w:trPr>
      <w:tc>
        <w:tcPr>
          <w:tcW w:w="0" w:type="pct"/>
        </w:tcPr>
        <w:p w:rsidR="00EC379B" w:rsidRDefault="00A01CC6" w:rsidP="009C1E9A">
          <w:pPr>
            <w:pStyle w:val="Footer"/>
            <w:tabs>
              <w:tab w:val="clear" w:pos="4320"/>
              <w:tab w:val="clear" w:pos="8640"/>
              <w:tab w:val="left" w:pos="2865"/>
            </w:tabs>
          </w:pPr>
        </w:p>
      </w:tc>
      <w:tc>
        <w:tcPr>
          <w:tcW w:w="2395" w:type="pct"/>
        </w:tcPr>
        <w:p w:rsidR="00EC379B" w:rsidRPr="009C1E9A" w:rsidRDefault="00A01CC6" w:rsidP="009C1E9A">
          <w:pPr>
            <w:pStyle w:val="Footer"/>
            <w:tabs>
              <w:tab w:val="clear" w:pos="4320"/>
              <w:tab w:val="clear" w:pos="8640"/>
              <w:tab w:val="left" w:pos="2865"/>
            </w:tabs>
            <w:rPr>
              <w:rFonts w:ascii="Shruti" w:hAnsi="Shruti"/>
              <w:sz w:val="22"/>
            </w:rPr>
          </w:pPr>
        </w:p>
      </w:tc>
      <w:tc>
        <w:tcPr>
          <w:tcW w:w="2453" w:type="pct"/>
        </w:tcPr>
        <w:p w:rsidR="00EC379B" w:rsidRDefault="00A01CC6" w:rsidP="006D504F">
          <w:pPr>
            <w:pStyle w:val="Footer"/>
            <w:rPr>
              <w:rStyle w:val="PageNumber"/>
            </w:rPr>
          </w:pPr>
        </w:p>
        <w:p w:rsidR="00EC379B" w:rsidRDefault="00A01CC6" w:rsidP="009C1E9A">
          <w:pPr>
            <w:pStyle w:val="Footer"/>
            <w:tabs>
              <w:tab w:val="clear" w:pos="8640"/>
              <w:tab w:val="right" w:pos="9360"/>
            </w:tabs>
            <w:jc w:val="right"/>
          </w:pPr>
        </w:p>
      </w:tc>
    </w:tr>
    <w:tr w:rsidR="009F2F63" w:rsidTr="009C1E9A">
      <w:trPr>
        <w:cantSplit/>
        <w:trHeight w:val="323"/>
      </w:trPr>
      <w:tc>
        <w:tcPr>
          <w:tcW w:w="0" w:type="pct"/>
          <w:gridSpan w:val="3"/>
        </w:tcPr>
        <w:p w:rsidR="00EC379B" w:rsidRDefault="00A01C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1CC6" w:rsidP="009C1E9A">
          <w:pPr>
            <w:pStyle w:val="Footer"/>
            <w:tabs>
              <w:tab w:val="clear" w:pos="8640"/>
              <w:tab w:val="right" w:pos="9360"/>
            </w:tabs>
            <w:jc w:val="center"/>
          </w:pPr>
        </w:p>
      </w:tc>
    </w:tr>
  </w:tbl>
  <w:p w:rsidR="00EC379B" w:rsidRPr="00FF6F72" w:rsidRDefault="00A01CC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E7" w:rsidRDefault="00A01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1CC6">
      <w:r>
        <w:separator/>
      </w:r>
    </w:p>
  </w:footnote>
  <w:footnote w:type="continuationSeparator" w:id="0">
    <w:p w:rsidR="00000000" w:rsidRDefault="00A0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E7" w:rsidRDefault="00A01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E7" w:rsidRDefault="00A01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E7" w:rsidRDefault="00A01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3"/>
    <w:rsid w:val="009F2F63"/>
    <w:rsid w:val="00A0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4D2F"/>
    <w:rPr>
      <w:sz w:val="16"/>
      <w:szCs w:val="16"/>
    </w:rPr>
  </w:style>
  <w:style w:type="paragraph" w:styleId="CommentText">
    <w:name w:val="annotation text"/>
    <w:basedOn w:val="Normal"/>
    <w:link w:val="CommentTextChar"/>
    <w:rsid w:val="00174D2F"/>
    <w:rPr>
      <w:sz w:val="20"/>
      <w:szCs w:val="20"/>
    </w:rPr>
  </w:style>
  <w:style w:type="character" w:customStyle="1" w:styleId="CommentTextChar">
    <w:name w:val="Comment Text Char"/>
    <w:basedOn w:val="DefaultParagraphFont"/>
    <w:link w:val="CommentText"/>
    <w:rsid w:val="00174D2F"/>
  </w:style>
  <w:style w:type="paragraph" w:styleId="CommentSubject">
    <w:name w:val="annotation subject"/>
    <w:basedOn w:val="CommentText"/>
    <w:next w:val="CommentText"/>
    <w:link w:val="CommentSubjectChar"/>
    <w:rsid w:val="00174D2F"/>
    <w:rPr>
      <w:b/>
      <w:bCs/>
    </w:rPr>
  </w:style>
  <w:style w:type="character" w:customStyle="1" w:styleId="CommentSubjectChar">
    <w:name w:val="Comment Subject Char"/>
    <w:basedOn w:val="CommentTextChar"/>
    <w:link w:val="CommentSubject"/>
    <w:rsid w:val="00174D2F"/>
    <w:rPr>
      <w:b/>
      <w:bCs/>
    </w:rPr>
  </w:style>
  <w:style w:type="paragraph" w:styleId="Revision">
    <w:name w:val="Revision"/>
    <w:hidden/>
    <w:uiPriority w:val="99"/>
    <w:semiHidden/>
    <w:rsid w:val="00C86C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4D2F"/>
    <w:rPr>
      <w:sz w:val="16"/>
      <w:szCs w:val="16"/>
    </w:rPr>
  </w:style>
  <w:style w:type="paragraph" w:styleId="CommentText">
    <w:name w:val="annotation text"/>
    <w:basedOn w:val="Normal"/>
    <w:link w:val="CommentTextChar"/>
    <w:rsid w:val="00174D2F"/>
    <w:rPr>
      <w:sz w:val="20"/>
      <w:szCs w:val="20"/>
    </w:rPr>
  </w:style>
  <w:style w:type="character" w:customStyle="1" w:styleId="CommentTextChar">
    <w:name w:val="Comment Text Char"/>
    <w:basedOn w:val="DefaultParagraphFont"/>
    <w:link w:val="CommentText"/>
    <w:rsid w:val="00174D2F"/>
  </w:style>
  <w:style w:type="paragraph" w:styleId="CommentSubject">
    <w:name w:val="annotation subject"/>
    <w:basedOn w:val="CommentText"/>
    <w:next w:val="CommentText"/>
    <w:link w:val="CommentSubjectChar"/>
    <w:rsid w:val="00174D2F"/>
    <w:rPr>
      <w:b/>
      <w:bCs/>
    </w:rPr>
  </w:style>
  <w:style w:type="character" w:customStyle="1" w:styleId="CommentSubjectChar">
    <w:name w:val="Comment Subject Char"/>
    <w:basedOn w:val="CommentTextChar"/>
    <w:link w:val="CommentSubject"/>
    <w:rsid w:val="00174D2F"/>
    <w:rPr>
      <w:b/>
      <w:bCs/>
    </w:rPr>
  </w:style>
  <w:style w:type="paragraph" w:styleId="Revision">
    <w:name w:val="Revision"/>
    <w:hidden/>
    <w:uiPriority w:val="99"/>
    <w:semiHidden/>
    <w:rsid w:val="00C86C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2057</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HB00939 (Committee Report (Unamended))</vt:lpstr>
    </vt:vector>
  </TitlesOfParts>
  <Company>State of Texas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30986</dc:subject>
  <dc:creator>State of Texas</dc:creator>
  <dc:description>SB 2166 by Creighton-(H)Ways &amp; Means</dc:description>
  <cp:lastModifiedBy>Alexander McMillan</cp:lastModifiedBy>
  <cp:revision>2</cp:revision>
  <cp:lastPrinted>2017-04-17T20:38:00Z</cp:lastPrinted>
  <dcterms:created xsi:type="dcterms:W3CDTF">2017-05-17T23:45:00Z</dcterms:created>
  <dcterms:modified xsi:type="dcterms:W3CDTF">2017-05-17T23:45:00Z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17.135.399</vt:lpwstr>
  </property>
</Properties>
</file>