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F1588" w:rsidTr="00345119">
        <w:tc>
          <w:tcPr>
            <w:tcW w:w="9576" w:type="dxa"/>
            <w:noWrap/>
          </w:tcPr>
          <w:p w:rsidR="008423E4" w:rsidRPr="0022177D" w:rsidRDefault="00491CF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91CFF" w:rsidP="008423E4">
      <w:pPr>
        <w:jc w:val="center"/>
      </w:pPr>
    </w:p>
    <w:p w:rsidR="008423E4" w:rsidRPr="00B31F0E" w:rsidRDefault="00491CFF" w:rsidP="008423E4"/>
    <w:p w:rsidR="008423E4" w:rsidRPr="00742794" w:rsidRDefault="00491CF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F1588" w:rsidTr="00345119">
        <w:tc>
          <w:tcPr>
            <w:tcW w:w="9576" w:type="dxa"/>
          </w:tcPr>
          <w:p w:rsidR="008423E4" w:rsidRPr="00861995" w:rsidRDefault="00491CFF" w:rsidP="00345119">
            <w:pPr>
              <w:jc w:val="right"/>
            </w:pPr>
            <w:r>
              <w:t>S.B. 2286</w:t>
            </w:r>
          </w:p>
        </w:tc>
      </w:tr>
      <w:tr w:rsidR="006F1588" w:rsidTr="00345119">
        <w:tc>
          <w:tcPr>
            <w:tcW w:w="9576" w:type="dxa"/>
          </w:tcPr>
          <w:p w:rsidR="008423E4" w:rsidRPr="00861995" w:rsidRDefault="00491CFF" w:rsidP="008F155D">
            <w:pPr>
              <w:jc w:val="right"/>
            </w:pPr>
            <w:r>
              <w:t xml:space="preserve">By: </w:t>
            </w:r>
            <w:r>
              <w:t>Creighton</w:t>
            </w:r>
          </w:p>
        </w:tc>
      </w:tr>
      <w:tr w:rsidR="006F1588" w:rsidTr="00345119">
        <w:tc>
          <w:tcPr>
            <w:tcW w:w="9576" w:type="dxa"/>
          </w:tcPr>
          <w:p w:rsidR="008423E4" w:rsidRPr="00861995" w:rsidRDefault="00491CFF" w:rsidP="00345119">
            <w:pPr>
              <w:jc w:val="right"/>
            </w:pPr>
            <w:r>
              <w:t>Special Purpose Districts</w:t>
            </w:r>
          </w:p>
        </w:tc>
      </w:tr>
      <w:tr w:rsidR="006F1588" w:rsidTr="00345119">
        <w:tc>
          <w:tcPr>
            <w:tcW w:w="9576" w:type="dxa"/>
          </w:tcPr>
          <w:p w:rsidR="008423E4" w:rsidRDefault="00491CF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91CFF" w:rsidP="008423E4">
      <w:pPr>
        <w:tabs>
          <w:tab w:val="right" w:pos="9360"/>
        </w:tabs>
      </w:pPr>
    </w:p>
    <w:p w:rsidR="008423E4" w:rsidRDefault="00491CFF" w:rsidP="008423E4"/>
    <w:p w:rsidR="008423E4" w:rsidRDefault="00491CF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F1588" w:rsidTr="00345119">
        <w:tc>
          <w:tcPr>
            <w:tcW w:w="9576" w:type="dxa"/>
          </w:tcPr>
          <w:p w:rsidR="008423E4" w:rsidRPr="00A8133F" w:rsidRDefault="00491CFF" w:rsidP="00A51F4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91CFF" w:rsidP="00A51F4F"/>
          <w:p w:rsidR="008423E4" w:rsidRDefault="00491CFF" w:rsidP="00A51F4F">
            <w:pPr>
              <w:pStyle w:val="Header"/>
              <w:jc w:val="both"/>
            </w:pPr>
            <w:r>
              <w:t>Continued growth and development in the Southwest Montgomery County Improvement District has created the need for improvements</w:t>
            </w:r>
            <w:r>
              <w:t xml:space="preserve"> and update</w:t>
            </w:r>
            <w:r>
              <w:t>s in the law relating to the district</w:t>
            </w:r>
            <w:r>
              <w:t xml:space="preserve">. </w:t>
            </w:r>
            <w:r w:rsidRPr="005638F4">
              <w:t>S.B. 2286</w:t>
            </w:r>
            <w:r>
              <w:t xml:space="preserve"> seeks to provide these improvements and updates</w:t>
            </w:r>
            <w:r>
              <w:t>, including changing the district's name to the Westwood Magnolia Parkway Improvement District</w:t>
            </w:r>
            <w:r>
              <w:t>.</w:t>
            </w:r>
          </w:p>
          <w:p w:rsidR="008423E4" w:rsidRPr="00E26B13" w:rsidRDefault="00491CFF" w:rsidP="00A51F4F">
            <w:pPr>
              <w:rPr>
                <w:b/>
              </w:rPr>
            </w:pPr>
          </w:p>
        </w:tc>
      </w:tr>
      <w:tr w:rsidR="006F1588" w:rsidTr="00345119">
        <w:tc>
          <w:tcPr>
            <w:tcW w:w="9576" w:type="dxa"/>
          </w:tcPr>
          <w:p w:rsidR="0017725B" w:rsidRDefault="00491CFF" w:rsidP="00A51F4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91CFF" w:rsidP="00A51F4F">
            <w:pPr>
              <w:rPr>
                <w:b/>
                <w:u w:val="single"/>
              </w:rPr>
            </w:pPr>
          </w:p>
          <w:p w:rsidR="00156E9D" w:rsidRPr="00156E9D" w:rsidRDefault="00491CFF" w:rsidP="00A51F4F">
            <w:pPr>
              <w:jc w:val="both"/>
            </w:pPr>
            <w:r>
              <w:t>It is the committee's opin</w:t>
            </w:r>
            <w:r>
              <w:t>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91CFF" w:rsidP="00A51F4F">
            <w:pPr>
              <w:rPr>
                <w:b/>
                <w:u w:val="single"/>
              </w:rPr>
            </w:pPr>
          </w:p>
        </w:tc>
      </w:tr>
      <w:tr w:rsidR="006F1588" w:rsidTr="00345119">
        <w:tc>
          <w:tcPr>
            <w:tcW w:w="9576" w:type="dxa"/>
          </w:tcPr>
          <w:p w:rsidR="008423E4" w:rsidRPr="00A8133F" w:rsidRDefault="00491CFF" w:rsidP="00A51F4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</w:t>
            </w:r>
            <w:r w:rsidRPr="009C1E9A">
              <w:rPr>
                <w:b/>
                <w:u w:val="single"/>
              </w:rPr>
              <w:t>NG AUTHORITY</w:t>
            </w:r>
            <w:r>
              <w:rPr>
                <w:b/>
              </w:rPr>
              <w:t xml:space="preserve"> </w:t>
            </w:r>
          </w:p>
          <w:p w:rsidR="008423E4" w:rsidRDefault="00491CFF" w:rsidP="00A51F4F"/>
          <w:p w:rsidR="00156E9D" w:rsidRDefault="00491CFF" w:rsidP="00A51F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91CFF" w:rsidP="00A51F4F">
            <w:pPr>
              <w:rPr>
                <w:b/>
              </w:rPr>
            </w:pPr>
          </w:p>
        </w:tc>
      </w:tr>
      <w:tr w:rsidR="006F1588" w:rsidTr="00345119">
        <w:tc>
          <w:tcPr>
            <w:tcW w:w="9576" w:type="dxa"/>
          </w:tcPr>
          <w:p w:rsidR="008423E4" w:rsidRPr="00A8133F" w:rsidRDefault="00491CFF" w:rsidP="00A51F4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91CFF" w:rsidP="00A51F4F"/>
          <w:p w:rsidR="00171237" w:rsidRDefault="00491CFF" w:rsidP="00A51F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638F4">
              <w:t>S.B. 2286</w:t>
            </w:r>
            <w:r>
              <w:t xml:space="preserve"> amends </w:t>
            </w:r>
            <w:r w:rsidRPr="00C2242C">
              <w:t xml:space="preserve">Chapter 323, Acts of the 78th Legislature, </w:t>
            </w:r>
            <w:r w:rsidRPr="00C2242C">
              <w:t>Regular Session, 2003,</w:t>
            </w:r>
            <w:r>
              <w:t xml:space="preserve"> to</w:t>
            </w:r>
            <w:r>
              <w:t xml:space="preserve"> revise provisions relating to </w:t>
            </w:r>
            <w:r>
              <w:t>the Southwest Montgomery County</w:t>
            </w:r>
            <w:r w:rsidRPr="00C2242C">
              <w:t xml:space="preserve"> Improvement District</w:t>
            </w:r>
            <w:r>
              <w:t>.</w:t>
            </w:r>
            <w:r>
              <w:t xml:space="preserve"> </w:t>
            </w:r>
            <w:r>
              <w:t xml:space="preserve">The bill renames the district as </w:t>
            </w:r>
            <w:r>
              <w:t xml:space="preserve">the </w:t>
            </w:r>
            <w:r w:rsidRPr="00C2242C">
              <w:t>Westwood Magnolia Parkway</w:t>
            </w:r>
            <w:r>
              <w:t xml:space="preserve"> </w:t>
            </w:r>
            <w:r w:rsidRPr="00C2242C">
              <w:t>Improvement District</w:t>
            </w:r>
            <w:r>
              <w:t xml:space="preserve">. </w:t>
            </w:r>
            <w:r>
              <w:t xml:space="preserve">The bill </w:t>
            </w:r>
            <w:r>
              <w:t>revises provisions relating to the</w:t>
            </w:r>
            <w:r>
              <w:t xml:space="preserve"> purposes of the</w:t>
            </w:r>
            <w:r>
              <w:t xml:space="preserve"> </w:t>
            </w:r>
            <w:r>
              <w:t>d</w:t>
            </w:r>
            <w:r>
              <w:t>istrict</w:t>
            </w:r>
            <w:r>
              <w:t>'s</w:t>
            </w:r>
            <w:r>
              <w:t xml:space="preserve"> </w:t>
            </w:r>
            <w:r>
              <w:t>creation</w:t>
            </w:r>
            <w:r>
              <w:t xml:space="preserve"> and</w:t>
            </w:r>
            <w:r>
              <w:t xml:space="preserve"> </w:t>
            </w:r>
            <w:r>
              <w:t>revises</w:t>
            </w:r>
            <w:r w:rsidRPr="00503510">
              <w:t xml:space="preserve"> </w:t>
            </w:r>
            <w:r>
              <w:t>the district's</w:t>
            </w:r>
            <w:r w:rsidRPr="00503510">
              <w:t xml:space="preserve"> territory</w:t>
            </w:r>
            <w:r>
              <w:t>.</w:t>
            </w:r>
            <w:r>
              <w:t xml:space="preserve"> The bill </w:t>
            </w:r>
            <w:r>
              <w:t>decreases from 11 directors to five directors the number of directors on the district's</w:t>
            </w:r>
            <w:r>
              <w:t xml:space="preserve"> board</w:t>
            </w:r>
            <w:r>
              <w:t>, provides for the transition to the new number of directors</w:t>
            </w:r>
            <w:r>
              <w:t xml:space="preserve"> in a provision expiring January 2, 2</w:t>
            </w:r>
            <w:r>
              <w:t>025</w:t>
            </w:r>
            <w:r>
              <w:t>, and</w:t>
            </w:r>
            <w:r>
              <w:t xml:space="preserve"> makes related changes</w:t>
            </w:r>
            <w:r>
              <w:t xml:space="preserve"> to the governance</w:t>
            </w:r>
            <w:r>
              <w:t xml:space="preserve"> and operation</w:t>
            </w:r>
            <w:r>
              <w:t xml:space="preserve"> of the board</w:t>
            </w:r>
            <w:r>
              <w:t xml:space="preserve">. </w:t>
            </w:r>
          </w:p>
          <w:p w:rsidR="00171237" w:rsidRDefault="00491CFF" w:rsidP="00A51F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70574" w:rsidRDefault="00491CFF" w:rsidP="00A51F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5638F4">
              <w:t>S.B. 2286</w:t>
            </w:r>
            <w:r>
              <w:t xml:space="preserve"> </w:t>
            </w:r>
            <w:r>
              <w:t xml:space="preserve">revises provisions relating to authorized improvement projects </w:t>
            </w:r>
            <w:r w:rsidRPr="005A1E88">
              <w:t>and</w:t>
            </w:r>
            <w:r>
              <w:t xml:space="preserve"> sets out provisions relating to</w:t>
            </w:r>
            <w:r>
              <w:t xml:space="preserve"> tax and assessment abatements, disbursement</w:t>
            </w:r>
            <w:r>
              <w:t>s</w:t>
            </w:r>
            <w:r>
              <w:t xml:space="preserve"> and transfer</w:t>
            </w:r>
            <w:r>
              <w:t>s</w:t>
            </w:r>
            <w:r>
              <w:t xml:space="preserve"> of distri</w:t>
            </w:r>
            <w:r>
              <w:t>ct money, money used for improvements or services, a petition required for financ</w:t>
            </w:r>
            <w:r>
              <w:t>ing</w:t>
            </w:r>
            <w:r>
              <w:t xml:space="preserve"> services and improvements with assessments, assessments and liens for assessments</w:t>
            </w:r>
            <w:r>
              <w:t>,</w:t>
            </w:r>
            <w:r>
              <w:t xml:space="preserve"> d</w:t>
            </w:r>
            <w:r>
              <w:t>evelopment</w:t>
            </w:r>
            <w:r>
              <w:t xml:space="preserve"> corporation powers</w:t>
            </w:r>
            <w:r>
              <w:t xml:space="preserve">, </w:t>
            </w:r>
            <w:r>
              <w:t xml:space="preserve">a </w:t>
            </w:r>
            <w:r>
              <w:t>nonprofit corporation</w:t>
            </w:r>
            <w:r>
              <w:t xml:space="preserve">, </w:t>
            </w:r>
            <w:r w:rsidRPr="00B4758A">
              <w:t>agreement</w:t>
            </w:r>
            <w:r>
              <w:t>s</w:t>
            </w:r>
            <w:r w:rsidRPr="00B4758A">
              <w:t xml:space="preserve"> </w:t>
            </w:r>
            <w:r>
              <w:t>and</w:t>
            </w:r>
            <w:r w:rsidRPr="00B4758A">
              <w:t xml:space="preserve"> grant</w:t>
            </w:r>
            <w:r>
              <w:t>s</w:t>
            </w:r>
            <w:r w:rsidRPr="00B4758A">
              <w:t xml:space="preserve">, </w:t>
            </w:r>
            <w:r>
              <w:t>membership in char</w:t>
            </w:r>
            <w:r>
              <w:t>itable organization</w:t>
            </w:r>
            <w:r>
              <w:t>s</w:t>
            </w:r>
            <w:r>
              <w:t>, economic development programs</w:t>
            </w:r>
            <w:r>
              <w:t>, eligibility</w:t>
            </w:r>
            <w:r>
              <w:t xml:space="preserve"> for inclusion in special zones</w:t>
            </w:r>
            <w:r>
              <w:t xml:space="preserve">, </w:t>
            </w:r>
            <w:r>
              <w:t xml:space="preserve">and </w:t>
            </w:r>
            <w:r>
              <w:t>authority to borrow money. The bill sets out provisions relating to the district's maximum sales and use tax rate in certain areas</w:t>
            </w:r>
            <w:r>
              <w:t xml:space="preserve"> </w:t>
            </w:r>
            <w:r>
              <w:t>with o</w:t>
            </w:r>
            <w:r>
              <w:t xml:space="preserve">verlapping local sales and use taxes </w:t>
            </w:r>
            <w:r>
              <w:t>and expands to any source of</w:t>
            </w:r>
            <w:r>
              <w:t xml:space="preserve"> district</w:t>
            </w:r>
            <w:r>
              <w:t xml:space="preserve"> money the sources from which</w:t>
            </w:r>
            <w:r>
              <w:t xml:space="preserve"> district</w:t>
            </w:r>
            <w:r>
              <w:t xml:space="preserve"> bonds may be secured and made payable</w:t>
            </w:r>
            <w:r>
              <w:t>.</w:t>
            </w:r>
            <w:r>
              <w:t xml:space="preserve"> The bill repeals provisions relating to the payment of expenses.</w:t>
            </w:r>
            <w:r>
              <w:t xml:space="preserve"> </w:t>
            </w:r>
            <w:r w:rsidRPr="00B70136">
              <w:t>The bill provides for the validation an</w:t>
            </w:r>
            <w:r w:rsidRPr="00B70136">
              <w:t>d confirmation of certain district actions and proceedings taken before the bill's effective date.</w:t>
            </w:r>
            <w:r>
              <w:t xml:space="preserve"> </w:t>
            </w:r>
          </w:p>
          <w:p w:rsidR="00B70136" w:rsidRDefault="00491CFF" w:rsidP="00A51F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B70136" w:rsidRDefault="00491CFF" w:rsidP="00A51F4F">
            <w:pPr>
              <w:pStyle w:val="Header"/>
              <w:jc w:val="both"/>
            </w:pPr>
            <w:r w:rsidRPr="005638F4">
              <w:t>S.B. 2286</w:t>
            </w:r>
            <w:r>
              <w:t xml:space="preserve"> repeals the following provisions of Chapter 323, Acts of the 78th Legislature, Regular Session, 2003: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10(b)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lastRenderedPageBreak/>
              <w:t>Section 11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 </w:t>
            </w:r>
            <w:r>
              <w:t>15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16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19</w:t>
            </w:r>
          </w:p>
          <w:p w:rsidR="00B70136" w:rsidRDefault="00491CFF" w:rsidP="00A51F4F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23</w:t>
            </w:r>
          </w:p>
          <w:p w:rsidR="008423E4" w:rsidRPr="00835628" w:rsidRDefault="00491CFF" w:rsidP="00A51F4F">
            <w:pPr>
              <w:rPr>
                <w:b/>
              </w:rPr>
            </w:pPr>
          </w:p>
        </w:tc>
      </w:tr>
      <w:tr w:rsidR="006F1588" w:rsidTr="00345119">
        <w:tc>
          <w:tcPr>
            <w:tcW w:w="9576" w:type="dxa"/>
          </w:tcPr>
          <w:p w:rsidR="008423E4" w:rsidRPr="00A8133F" w:rsidRDefault="00491CFF" w:rsidP="00A51F4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91CFF" w:rsidP="00A51F4F"/>
          <w:p w:rsidR="008423E4" w:rsidRPr="003624F2" w:rsidRDefault="00491CFF" w:rsidP="00A51F4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91CFF" w:rsidP="00A51F4F">
            <w:pPr>
              <w:rPr>
                <w:b/>
              </w:rPr>
            </w:pPr>
          </w:p>
        </w:tc>
      </w:tr>
    </w:tbl>
    <w:p w:rsidR="008423E4" w:rsidRPr="00BE0E75" w:rsidRDefault="00491CF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91CFF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CFF">
      <w:r>
        <w:separator/>
      </w:r>
    </w:p>
  </w:endnote>
  <w:endnote w:type="continuationSeparator" w:id="0">
    <w:p w:rsidR="00000000" w:rsidRDefault="004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F1588" w:rsidTr="009C1E9A">
      <w:trPr>
        <w:cantSplit/>
      </w:trPr>
      <w:tc>
        <w:tcPr>
          <w:tcW w:w="0" w:type="pct"/>
        </w:tcPr>
        <w:p w:rsidR="00137D90" w:rsidRDefault="00491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91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91CF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91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91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1588" w:rsidTr="009C1E9A">
      <w:trPr>
        <w:cantSplit/>
      </w:trPr>
      <w:tc>
        <w:tcPr>
          <w:tcW w:w="0" w:type="pct"/>
        </w:tcPr>
        <w:p w:rsidR="00EC379B" w:rsidRDefault="00491CF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91CF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31589</w:t>
          </w:r>
        </w:p>
      </w:tc>
      <w:tc>
        <w:tcPr>
          <w:tcW w:w="2453" w:type="pct"/>
        </w:tcPr>
        <w:p w:rsidR="00EC379B" w:rsidRDefault="00491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17.137.30</w:t>
          </w:r>
          <w:r>
            <w:fldChar w:fldCharType="end"/>
          </w:r>
        </w:p>
      </w:tc>
    </w:tr>
    <w:tr w:rsidR="006F1588" w:rsidTr="009C1E9A">
      <w:trPr>
        <w:cantSplit/>
      </w:trPr>
      <w:tc>
        <w:tcPr>
          <w:tcW w:w="0" w:type="pct"/>
        </w:tcPr>
        <w:p w:rsidR="00EC379B" w:rsidRDefault="00491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91CF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91CFF" w:rsidP="006D504F">
          <w:pPr>
            <w:pStyle w:val="Footer"/>
            <w:rPr>
              <w:rStyle w:val="PageNumber"/>
            </w:rPr>
          </w:pPr>
        </w:p>
        <w:p w:rsidR="00EC379B" w:rsidRDefault="00491CF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F158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91CF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91CF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91CF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CFF">
      <w:r>
        <w:separator/>
      </w:r>
    </w:p>
  </w:footnote>
  <w:footnote w:type="continuationSeparator" w:id="0">
    <w:p w:rsidR="00000000" w:rsidRDefault="00491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6E3B"/>
    <w:multiLevelType w:val="hybridMultilevel"/>
    <w:tmpl w:val="28E419E4"/>
    <w:lvl w:ilvl="0" w:tplc="3DBA6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760E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526A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A4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612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45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4A7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6E0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1AAB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88"/>
    <w:rsid w:val="00491CFF"/>
    <w:rsid w:val="006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2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42C"/>
  </w:style>
  <w:style w:type="paragraph" w:styleId="CommentSubject">
    <w:name w:val="annotation subject"/>
    <w:basedOn w:val="CommentText"/>
    <w:next w:val="CommentText"/>
    <w:link w:val="CommentSubjectChar"/>
    <w:rsid w:val="00C22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4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22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24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242C"/>
  </w:style>
  <w:style w:type="paragraph" w:styleId="CommentSubject">
    <w:name w:val="annotation subject"/>
    <w:basedOn w:val="CommentText"/>
    <w:next w:val="CommentText"/>
    <w:link w:val="CommentSubjectChar"/>
    <w:rsid w:val="00C22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2434</Characters>
  <Application>Microsoft Office Word</Application>
  <DocSecurity>4</DocSecurity>
  <Lines>66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SB02286 (Committee Report (Unamended))</vt:lpstr>
    </vt:vector>
  </TitlesOfParts>
  <Company>State of Texas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31589</dc:subject>
  <dc:creator>State of Texas</dc:creator>
  <dc:description>SB 2286 by Creighton-(H)Special Purpose Districts</dc:description>
  <cp:lastModifiedBy>Molly Hoffman-Bricker</cp:lastModifiedBy>
  <cp:revision>2</cp:revision>
  <cp:lastPrinted>2017-05-17T17:59:00Z</cp:lastPrinted>
  <dcterms:created xsi:type="dcterms:W3CDTF">2017-05-18T22:55:00Z</dcterms:created>
  <dcterms:modified xsi:type="dcterms:W3CDTF">2017-05-18T22:55:00Z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17.137.30</vt:lpwstr>
  </property>
</Properties>
</file>