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D7" w:rsidRDefault="00D52E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C47342EBE34920BD39829EF6AEE962"/>
          </w:placeholder>
        </w:sdtPr>
        <w:sdtContent>
          <w:r w:rsidRPr="005C2A78">
            <w:rPr>
              <w:rFonts w:cs="Times New Roman"/>
              <w:b/>
              <w:szCs w:val="24"/>
              <w:u w:val="single"/>
            </w:rPr>
            <w:t>BILL ANALYSIS</w:t>
          </w:r>
        </w:sdtContent>
      </w:sdt>
    </w:p>
    <w:p w:rsidR="00D52ED7" w:rsidRPr="00585C31" w:rsidRDefault="00D52ED7" w:rsidP="000F1DF9">
      <w:pPr>
        <w:spacing w:after="0" w:line="240" w:lineRule="auto"/>
        <w:rPr>
          <w:rFonts w:cs="Times New Roman"/>
          <w:szCs w:val="24"/>
        </w:rPr>
      </w:pPr>
    </w:p>
    <w:p w:rsidR="00D52ED7" w:rsidRPr="00585C31" w:rsidRDefault="00D52E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ED7" w:rsidTr="000F1DF9">
        <w:tc>
          <w:tcPr>
            <w:tcW w:w="2718" w:type="dxa"/>
          </w:tcPr>
          <w:p w:rsidR="00D52ED7" w:rsidRPr="005C2A78" w:rsidRDefault="00D52ED7" w:rsidP="006D756B">
            <w:pPr>
              <w:rPr>
                <w:rFonts w:cs="Times New Roman"/>
                <w:szCs w:val="24"/>
              </w:rPr>
            </w:pPr>
            <w:sdt>
              <w:sdtPr>
                <w:rPr>
                  <w:rFonts w:cs="Times New Roman"/>
                  <w:szCs w:val="24"/>
                </w:rPr>
                <w:alias w:val="Agency Title"/>
                <w:tag w:val="AgencyTitleContentControl"/>
                <w:id w:val="1920747753"/>
                <w:lock w:val="sdtContentLocked"/>
                <w:placeholder>
                  <w:docPart w:val="C09789D3685D4F2E9667758E493835F4"/>
                </w:placeholder>
              </w:sdtPr>
              <w:sdtEndPr>
                <w:rPr>
                  <w:rFonts w:cstheme="minorBidi"/>
                  <w:szCs w:val="22"/>
                </w:rPr>
              </w:sdtEndPr>
              <w:sdtContent>
                <w:r>
                  <w:rPr>
                    <w:rFonts w:cs="Times New Roman"/>
                    <w:szCs w:val="24"/>
                  </w:rPr>
                  <w:t>Senate Research Center</w:t>
                </w:r>
              </w:sdtContent>
            </w:sdt>
          </w:p>
        </w:tc>
        <w:tc>
          <w:tcPr>
            <w:tcW w:w="6858" w:type="dxa"/>
          </w:tcPr>
          <w:p w:rsidR="00D52ED7" w:rsidRPr="00FF6471" w:rsidRDefault="00D52ED7" w:rsidP="000F1DF9">
            <w:pPr>
              <w:jc w:val="right"/>
              <w:rPr>
                <w:rFonts w:cs="Times New Roman"/>
                <w:szCs w:val="24"/>
              </w:rPr>
            </w:pPr>
            <w:sdt>
              <w:sdtPr>
                <w:rPr>
                  <w:rFonts w:cs="Times New Roman"/>
                  <w:szCs w:val="24"/>
                </w:rPr>
                <w:alias w:val="Bill Number"/>
                <w:tag w:val="BillNumberOne"/>
                <w:id w:val="-410784069"/>
                <w:lock w:val="sdtContentLocked"/>
                <w:placeholder>
                  <w:docPart w:val="DB3876C2CEBA49F5A9212FEE7E0724ED"/>
                </w:placeholder>
              </w:sdtPr>
              <w:sdtContent>
                <w:r>
                  <w:rPr>
                    <w:rFonts w:cs="Times New Roman"/>
                    <w:szCs w:val="24"/>
                  </w:rPr>
                  <w:t>C.S.S.J.R. 6</w:t>
                </w:r>
              </w:sdtContent>
            </w:sdt>
          </w:p>
        </w:tc>
      </w:tr>
      <w:tr w:rsidR="00D52ED7" w:rsidTr="000F1DF9">
        <w:sdt>
          <w:sdtPr>
            <w:rPr>
              <w:rFonts w:cs="Times New Roman"/>
              <w:szCs w:val="24"/>
            </w:rPr>
            <w:alias w:val="TLCNumber"/>
            <w:tag w:val="TLCNumber"/>
            <w:id w:val="-542600604"/>
            <w:lock w:val="sdtLocked"/>
            <w:placeholder>
              <w:docPart w:val="8026950F97E04EF293E8C4205603ADFE"/>
            </w:placeholder>
          </w:sdtPr>
          <w:sdtContent>
            <w:tc>
              <w:tcPr>
                <w:tcW w:w="2718" w:type="dxa"/>
              </w:tcPr>
              <w:p w:rsidR="00D52ED7" w:rsidRPr="000F1DF9" w:rsidRDefault="00D52ED7" w:rsidP="00C65088">
                <w:pPr>
                  <w:rPr>
                    <w:rFonts w:cs="Times New Roman"/>
                    <w:szCs w:val="24"/>
                  </w:rPr>
                </w:pPr>
                <w:r>
                  <w:rPr>
                    <w:rFonts w:cs="Times New Roman"/>
                    <w:szCs w:val="24"/>
                  </w:rPr>
                  <w:t>85R10718 CAE-F</w:t>
                </w:r>
              </w:p>
            </w:tc>
          </w:sdtContent>
        </w:sdt>
        <w:tc>
          <w:tcPr>
            <w:tcW w:w="6858" w:type="dxa"/>
          </w:tcPr>
          <w:p w:rsidR="00D52ED7" w:rsidRPr="005C2A78" w:rsidRDefault="00D52ED7" w:rsidP="006D756B">
            <w:pPr>
              <w:jc w:val="right"/>
              <w:rPr>
                <w:rFonts w:cs="Times New Roman"/>
                <w:szCs w:val="24"/>
              </w:rPr>
            </w:pPr>
            <w:sdt>
              <w:sdtPr>
                <w:rPr>
                  <w:rFonts w:cs="Times New Roman"/>
                  <w:szCs w:val="24"/>
                </w:rPr>
                <w:alias w:val="Author Label"/>
                <w:tag w:val="By"/>
                <w:id w:val="72399597"/>
                <w:lock w:val="sdtLocked"/>
                <w:placeholder>
                  <w:docPart w:val="97D8270311FA4653BF4D5723D0DC2E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8D13E853B436C8140ABA0EEFAF9F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0D099A99EBD43B5BBA038D0A41C1A46"/>
                </w:placeholder>
                <w:showingPlcHdr/>
              </w:sdtPr>
              <w:sdtContent/>
            </w:sdt>
          </w:p>
        </w:tc>
      </w:tr>
      <w:tr w:rsidR="00D52ED7" w:rsidTr="000F1DF9">
        <w:tc>
          <w:tcPr>
            <w:tcW w:w="2718" w:type="dxa"/>
          </w:tcPr>
          <w:p w:rsidR="00D52ED7" w:rsidRPr="00BC7495" w:rsidRDefault="00D52ED7" w:rsidP="000F1DF9">
            <w:pPr>
              <w:rPr>
                <w:rFonts w:cs="Times New Roman"/>
                <w:szCs w:val="24"/>
              </w:rPr>
            </w:pPr>
          </w:p>
        </w:tc>
        <w:sdt>
          <w:sdtPr>
            <w:rPr>
              <w:rFonts w:cs="Times New Roman"/>
              <w:szCs w:val="24"/>
            </w:rPr>
            <w:alias w:val="Committee"/>
            <w:tag w:val="Committee"/>
            <w:id w:val="1914272295"/>
            <w:lock w:val="sdtContentLocked"/>
            <w:placeholder>
              <w:docPart w:val="F88081DFB08644B09AF506E11195D672"/>
            </w:placeholder>
          </w:sdtPr>
          <w:sdtContent>
            <w:tc>
              <w:tcPr>
                <w:tcW w:w="6858" w:type="dxa"/>
              </w:tcPr>
              <w:p w:rsidR="00D52ED7" w:rsidRPr="00FF6471" w:rsidRDefault="00D52ED7" w:rsidP="000F1DF9">
                <w:pPr>
                  <w:jc w:val="right"/>
                  <w:rPr>
                    <w:rFonts w:cs="Times New Roman"/>
                    <w:szCs w:val="24"/>
                  </w:rPr>
                </w:pPr>
                <w:r>
                  <w:rPr>
                    <w:rFonts w:cs="Times New Roman"/>
                    <w:szCs w:val="24"/>
                  </w:rPr>
                  <w:t>State Affairs</w:t>
                </w:r>
              </w:p>
            </w:tc>
          </w:sdtContent>
        </w:sdt>
      </w:tr>
      <w:tr w:rsidR="00D52ED7" w:rsidTr="000F1DF9">
        <w:tc>
          <w:tcPr>
            <w:tcW w:w="2718" w:type="dxa"/>
          </w:tcPr>
          <w:p w:rsidR="00D52ED7" w:rsidRPr="00BC7495" w:rsidRDefault="00D52ED7" w:rsidP="000F1DF9">
            <w:pPr>
              <w:rPr>
                <w:rFonts w:cs="Times New Roman"/>
                <w:szCs w:val="24"/>
              </w:rPr>
            </w:pPr>
          </w:p>
        </w:tc>
        <w:sdt>
          <w:sdtPr>
            <w:rPr>
              <w:rFonts w:cs="Times New Roman"/>
              <w:szCs w:val="24"/>
            </w:rPr>
            <w:alias w:val="Date"/>
            <w:tag w:val="DateContentControl"/>
            <w:id w:val="1178081906"/>
            <w:lock w:val="sdtLocked"/>
            <w:placeholder>
              <w:docPart w:val="B9F318EE4570420AA65F20D451DD76B3"/>
            </w:placeholder>
            <w:date w:fullDate="2017-04-24T00:00:00Z">
              <w:dateFormat w:val="M/d/yyyy"/>
              <w:lid w:val="en-US"/>
              <w:storeMappedDataAs w:val="dateTime"/>
              <w:calendar w:val="gregorian"/>
            </w:date>
          </w:sdtPr>
          <w:sdtContent>
            <w:tc>
              <w:tcPr>
                <w:tcW w:w="6858" w:type="dxa"/>
              </w:tcPr>
              <w:p w:rsidR="00D52ED7" w:rsidRPr="00FF6471" w:rsidRDefault="00D52ED7" w:rsidP="0036492A">
                <w:pPr>
                  <w:jc w:val="right"/>
                  <w:rPr>
                    <w:rFonts w:cs="Times New Roman"/>
                    <w:szCs w:val="24"/>
                  </w:rPr>
                </w:pPr>
                <w:r>
                  <w:rPr>
                    <w:rFonts w:cs="Times New Roman"/>
                    <w:szCs w:val="24"/>
                  </w:rPr>
                  <w:t>4/24/2017</w:t>
                </w:r>
              </w:p>
            </w:tc>
          </w:sdtContent>
        </w:sdt>
      </w:tr>
      <w:tr w:rsidR="00D52ED7" w:rsidTr="000F1DF9">
        <w:tc>
          <w:tcPr>
            <w:tcW w:w="2718" w:type="dxa"/>
          </w:tcPr>
          <w:p w:rsidR="00D52ED7" w:rsidRPr="00BC7495" w:rsidRDefault="00D52ED7" w:rsidP="000F1DF9">
            <w:pPr>
              <w:rPr>
                <w:rFonts w:cs="Times New Roman"/>
                <w:szCs w:val="24"/>
              </w:rPr>
            </w:pPr>
          </w:p>
        </w:tc>
        <w:sdt>
          <w:sdtPr>
            <w:rPr>
              <w:rFonts w:cs="Times New Roman"/>
              <w:szCs w:val="24"/>
            </w:rPr>
            <w:alias w:val="BA Version"/>
            <w:tag w:val="BAVersion"/>
            <w:id w:val="-1685590809"/>
            <w:lock w:val="sdtContentLocked"/>
            <w:placeholder>
              <w:docPart w:val="8D70E8465C44447293C5B8D2306C82C0"/>
            </w:placeholder>
          </w:sdtPr>
          <w:sdtContent>
            <w:tc>
              <w:tcPr>
                <w:tcW w:w="6858" w:type="dxa"/>
              </w:tcPr>
              <w:p w:rsidR="00D52ED7" w:rsidRPr="00FF6471" w:rsidRDefault="00D52ED7" w:rsidP="000F1DF9">
                <w:pPr>
                  <w:jc w:val="right"/>
                  <w:rPr>
                    <w:rFonts w:cs="Times New Roman"/>
                    <w:szCs w:val="24"/>
                  </w:rPr>
                </w:pPr>
                <w:r>
                  <w:rPr>
                    <w:rFonts w:cs="Times New Roman"/>
                    <w:szCs w:val="24"/>
                  </w:rPr>
                  <w:t>Committee Report (Substituted)</w:t>
                </w:r>
              </w:p>
            </w:tc>
          </w:sdtContent>
        </w:sdt>
      </w:tr>
    </w:tbl>
    <w:p w:rsidR="00D52ED7" w:rsidRPr="00FF6471" w:rsidRDefault="00D52ED7" w:rsidP="000F1DF9">
      <w:pPr>
        <w:spacing w:after="0" w:line="240" w:lineRule="auto"/>
        <w:rPr>
          <w:rFonts w:cs="Times New Roman"/>
          <w:szCs w:val="24"/>
        </w:rPr>
      </w:pPr>
    </w:p>
    <w:p w:rsidR="00D52ED7" w:rsidRPr="00FF6471" w:rsidRDefault="00D52ED7" w:rsidP="000F1DF9">
      <w:pPr>
        <w:spacing w:after="0" w:line="240" w:lineRule="auto"/>
        <w:rPr>
          <w:rFonts w:cs="Times New Roman"/>
          <w:szCs w:val="24"/>
        </w:rPr>
      </w:pPr>
    </w:p>
    <w:p w:rsidR="00D52ED7" w:rsidRPr="00FF6471" w:rsidRDefault="00D52E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4853C749014E678A3D0BBB891BABE5"/>
        </w:placeholder>
      </w:sdtPr>
      <w:sdtContent>
        <w:p w:rsidR="00D52ED7" w:rsidRDefault="00D52E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A9AD0C719C464F88D4E69A8C34E4D8"/>
        </w:placeholder>
      </w:sdtPr>
      <w:sdtContent>
        <w:p w:rsidR="00D52ED7" w:rsidRDefault="00D52ED7" w:rsidP="000435A4">
          <w:pPr>
            <w:pStyle w:val="NormalWeb"/>
            <w:spacing w:before="0" w:beforeAutospacing="0" w:after="0" w:afterAutospacing="0"/>
            <w:jc w:val="both"/>
            <w:divId w:val="173037578"/>
            <w:rPr>
              <w:rFonts w:eastAsia="Times New Roman" w:cstheme="minorBidi"/>
              <w:bCs/>
              <w:szCs w:val="22"/>
            </w:rPr>
          </w:pPr>
        </w:p>
        <w:p w:rsidR="00D52ED7" w:rsidRDefault="00D52ED7" w:rsidP="000435A4">
          <w:pPr>
            <w:pStyle w:val="NormalWeb"/>
            <w:spacing w:before="0" w:beforeAutospacing="0" w:after="0" w:afterAutospacing="0"/>
            <w:jc w:val="both"/>
            <w:divId w:val="173037578"/>
          </w:pPr>
          <w:r w:rsidRPr="001222CB">
            <w:t>In much the way that a court may not enter judgment against a private party who has not received notice of the litigation, it has long been the case at the federal level that the government should be notified before one of its popularly enacted measures is consigned to the dustbin on constitutional grounds. Accordingly, more than 80 years ago the federal judicial code—a code which dates to 1789, when the U.S. Constitution was ratified—was amended to require that, in a case challenging the constitutionality of a federal statute, the U.S. Attorney General must be given notice and an opportunity to defend the challenged law. That notice provision remains on the books to this day, and there exists no serious controversy among practitioners or constitutional scho</w:t>
          </w:r>
          <w:r>
            <w:t>lars concerning its validity.</w:t>
          </w:r>
        </w:p>
        <w:p w:rsidR="00D52ED7" w:rsidRDefault="00D52ED7" w:rsidP="000435A4">
          <w:pPr>
            <w:pStyle w:val="NormalWeb"/>
            <w:spacing w:before="0" w:beforeAutospacing="0" w:after="0" w:afterAutospacing="0"/>
            <w:jc w:val="both"/>
            <w:divId w:val="173037578"/>
          </w:pPr>
        </w:p>
        <w:p w:rsidR="00D52ED7" w:rsidRPr="001222CB" w:rsidRDefault="00D52ED7" w:rsidP="000435A4">
          <w:pPr>
            <w:pStyle w:val="NormalWeb"/>
            <w:spacing w:before="0" w:beforeAutospacing="0" w:after="0" w:afterAutospacing="0"/>
            <w:jc w:val="both"/>
            <w:divId w:val="173037578"/>
          </w:pPr>
          <w:r w:rsidRPr="001222CB">
            <w:t>In 2011, the Texas Legislature passed its own version of the notice provision. Similar to the federal law, the Texas statute provides that in an action in which a party challenges the constitutionality of a Texas statute, the Texas Attorney General (AG) is required to be notified and given 45 days to intervene. In a decision handed down in 2014, however, the Court of Criminal Appeals found both the notice and 45-day provision unconstitutional. This decision means that Texas legislative enactments may be struck down without the state—arguably the one party with a direct interest in the statutes' validity—having a chance to defend them. S.J.R. 6 remedies this situation by proposing a constitutional amendment to make clear that Texas' AG</w:t>
          </w:r>
          <w:r>
            <w:t>-</w:t>
          </w:r>
          <w:r w:rsidRPr="001222CB">
            <w:t>notice provision is constitutional. (Original Author's / Sponsor's Statement of Intent)</w:t>
          </w:r>
        </w:p>
        <w:p w:rsidR="00D52ED7" w:rsidRPr="00D70925" w:rsidRDefault="00D52ED7" w:rsidP="000435A4">
          <w:pPr>
            <w:spacing w:after="0" w:line="240" w:lineRule="auto"/>
            <w:jc w:val="both"/>
            <w:rPr>
              <w:rFonts w:eastAsia="Times New Roman" w:cs="Times New Roman"/>
              <w:bCs/>
              <w:szCs w:val="24"/>
            </w:rPr>
          </w:pPr>
        </w:p>
      </w:sdtContent>
    </w:sdt>
    <w:p w:rsidR="00D52ED7" w:rsidRDefault="00D52E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C.S.S.J.R. 6 </w:t>
      </w:r>
      <w:bookmarkStart w:id="1" w:name="AmendsCurrentLaw"/>
      <w:bookmarkEnd w:id="1"/>
      <w:r>
        <w:rPr>
          <w:rFonts w:cs="Times New Roman"/>
          <w:szCs w:val="24"/>
        </w:rPr>
        <w:t xml:space="preserve">proposes a constitutional amendment to authorize the legislature to require a court to provide notice to the attorney general of a challenge to the constitutionality of a state statute and authorize the legislature to prescribe a waiting period before the court may enter a judgment holding the statute unconstitutional. </w:t>
      </w:r>
    </w:p>
    <w:p w:rsidR="00D52ED7" w:rsidRPr="005026CB" w:rsidRDefault="00D52ED7" w:rsidP="000F1DF9">
      <w:pPr>
        <w:spacing w:after="0" w:line="240" w:lineRule="auto"/>
        <w:jc w:val="both"/>
        <w:rPr>
          <w:rFonts w:eastAsia="Times New Roman" w:cs="Times New Roman"/>
          <w:szCs w:val="24"/>
        </w:rPr>
      </w:pPr>
    </w:p>
    <w:p w:rsidR="00D52ED7" w:rsidRPr="005C2A78" w:rsidRDefault="00D52E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437512C3CAA41798180F0154A3E783A"/>
          </w:placeholder>
        </w:sdtPr>
        <w:sdtContent>
          <w:r>
            <w:rPr>
              <w:rFonts w:eastAsia="Times New Roman" w:cs="Times New Roman"/>
              <w:b/>
              <w:szCs w:val="24"/>
              <w:u w:val="single"/>
            </w:rPr>
            <w:t>RULEMAKING AUTHORITY</w:t>
          </w:r>
        </w:sdtContent>
      </w:sdt>
    </w:p>
    <w:p w:rsidR="00D52ED7" w:rsidRPr="006529C4" w:rsidRDefault="00D52ED7" w:rsidP="00774EC7">
      <w:pPr>
        <w:spacing w:after="0" w:line="240" w:lineRule="auto"/>
        <w:jc w:val="both"/>
        <w:rPr>
          <w:rFonts w:cs="Times New Roman"/>
          <w:szCs w:val="24"/>
        </w:rPr>
      </w:pPr>
    </w:p>
    <w:p w:rsidR="00D52ED7" w:rsidRPr="006529C4" w:rsidRDefault="00D52E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2ED7" w:rsidRPr="006529C4" w:rsidRDefault="00D52ED7" w:rsidP="00774EC7">
      <w:pPr>
        <w:spacing w:after="0" w:line="240" w:lineRule="auto"/>
        <w:jc w:val="both"/>
        <w:rPr>
          <w:rFonts w:cs="Times New Roman"/>
          <w:szCs w:val="24"/>
        </w:rPr>
      </w:pPr>
    </w:p>
    <w:p w:rsidR="00D52ED7" w:rsidRPr="005C2A78" w:rsidRDefault="00D52E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3372C18040541899B5EE6567612456A"/>
          </w:placeholder>
        </w:sdtPr>
        <w:sdtContent>
          <w:r>
            <w:rPr>
              <w:rFonts w:eastAsia="Times New Roman" w:cs="Times New Roman"/>
              <w:b/>
              <w:szCs w:val="24"/>
              <w:u w:val="single"/>
            </w:rPr>
            <w:t>SECTION BY SECTION ANALYSIS</w:t>
          </w:r>
        </w:sdtContent>
      </w:sdt>
    </w:p>
    <w:p w:rsidR="00D52ED7" w:rsidRPr="005C2A78" w:rsidRDefault="00D52ED7" w:rsidP="000F1DF9">
      <w:pPr>
        <w:spacing w:after="0" w:line="240" w:lineRule="auto"/>
        <w:jc w:val="both"/>
        <w:rPr>
          <w:rFonts w:eastAsia="Times New Roman" w:cs="Times New Roman"/>
          <w:szCs w:val="24"/>
        </w:rPr>
      </w:pPr>
    </w:p>
    <w:p w:rsidR="00D52ED7" w:rsidRDefault="00D52ED7" w:rsidP="003649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 Texas Constitution, by adding Section 32, as follows: </w:t>
      </w:r>
    </w:p>
    <w:p w:rsidR="00D52ED7" w:rsidRDefault="00D52ED7" w:rsidP="0036492A">
      <w:pPr>
        <w:spacing w:after="0" w:line="240" w:lineRule="auto"/>
        <w:jc w:val="both"/>
        <w:rPr>
          <w:rFonts w:eastAsia="Times New Roman" w:cs="Times New Roman"/>
          <w:szCs w:val="24"/>
        </w:rPr>
      </w:pPr>
    </w:p>
    <w:p w:rsidR="00D52ED7" w:rsidRPr="005C2A78" w:rsidRDefault="00D52ED7" w:rsidP="0036492A">
      <w:pPr>
        <w:spacing w:after="0" w:line="240" w:lineRule="auto"/>
        <w:ind w:left="720"/>
        <w:jc w:val="both"/>
        <w:rPr>
          <w:rFonts w:eastAsia="Times New Roman" w:cs="Times New Roman"/>
          <w:szCs w:val="24"/>
        </w:rPr>
      </w:pPr>
      <w:r>
        <w:rPr>
          <w:rFonts w:eastAsia="Times New Roman" w:cs="Times New Roman"/>
          <w:szCs w:val="24"/>
        </w:rPr>
        <w:t xml:space="preserve">Sec. 32. Authorizes the legislature, notwithstanding Section 1 (Division of Powers; Three Separate Departments; Exercise of Power Properly Attached to Other Departments), Article II (Powers of Government), to require a court in which a party to litigation files a petition, motion, or other pleading challenging the constitutionality of a statute of this state to provide notice to the Texas attorney general (attorney general) of the challenge if the party raising the challenge notifies the court that the party is challenging the constitutionality of the statute and prescribe a reasonable period, which may not exceed 45 days, after the provision of that notice during which the court is prohibited from entering  judgment holding the statute unconstitutional. </w:t>
      </w:r>
    </w:p>
    <w:p w:rsidR="00D52ED7" w:rsidRPr="005C2A78" w:rsidRDefault="00D52ED7" w:rsidP="0036492A">
      <w:pPr>
        <w:spacing w:after="0" w:line="240" w:lineRule="auto"/>
        <w:jc w:val="both"/>
        <w:rPr>
          <w:rFonts w:eastAsia="Times New Roman" w:cs="Times New Roman"/>
          <w:szCs w:val="24"/>
        </w:rPr>
      </w:pPr>
    </w:p>
    <w:p w:rsidR="00D52ED7" w:rsidRDefault="00D52ED7" w:rsidP="0036492A">
      <w:pPr>
        <w:spacing w:after="0" w:line="240" w:lineRule="auto"/>
        <w:jc w:val="both"/>
        <w:rPr>
          <w:rFonts w:eastAsia="Times New Roman" w:cs="Times New Roman"/>
          <w:szCs w:val="24"/>
        </w:rPr>
      </w:pPr>
      <w:r>
        <w:rPr>
          <w:rFonts w:eastAsia="Times New Roman" w:cs="Times New Roman"/>
          <w:szCs w:val="24"/>
        </w:rPr>
        <w:t>SECTION 2. Amends the Texas Constitution, by adding a temporary provision, as follows:</w:t>
      </w:r>
    </w:p>
    <w:p w:rsidR="00D52ED7" w:rsidRDefault="00D52ED7" w:rsidP="0036492A">
      <w:pPr>
        <w:spacing w:after="0" w:line="240" w:lineRule="auto"/>
        <w:jc w:val="both"/>
        <w:rPr>
          <w:rFonts w:eastAsia="Times New Roman" w:cs="Times New Roman"/>
          <w:szCs w:val="24"/>
        </w:rPr>
      </w:pPr>
    </w:p>
    <w:p w:rsidR="00D52ED7" w:rsidRDefault="00D52ED7" w:rsidP="0036492A">
      <w:pPr>
        <w:spacing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authorizes the legislature to require a court to provide notice to the attorney general of a challenge to the constitutionality of a state statute, and authorizes the legislature to prescribe a waiting period, not to exceed 45 days, before the court may enter a judgment holding the statute unconstitutional. </w:t>
      </w:r>
    </w:p>
    <w:p w:rsidR="00D52ED7" w:rsidRDefault="00D52ED7" w:rsidP="0036492A">
      <w:pPr>
        <w:spacing w:line="240" w:lineRule="auto"/>
        <w:ind w:left="1440"/>
        <w:jc w:val="both"/>
        <w:rPr>
          <w:rFonts w:eastAsia="Times New Roman" w:cs="Times New Roman"/>
          <w:szCs w:val="24"/>
        </w:rPr>
      </w:pPr>
      <w:r>
        <w:rPr>
          <w:rFonts w:eastAsia="Times New Roman" w:cs="Times New Roman"/>
          <w:szCs w:val="24"/>
        </w:rPr>
        <w:t xml:space="preserve">(b) Provides that Section 402.010 (Legal Challenges to Constitutionality of State Statutes), as added by Chapter 808 (H.B. 2425), 82nd Legislature, Regular Session, 2011, and amended by Chapter 1162 (S.B. 392) and Chapter 1276 (H.B. 1435), 83rd Legislature, Regular Session, 2013, is validated and effective on approval of the constitutional amendment described by Subsection (a) of this temporary provision and applies only to a petition, motion, or other pleading filed on or after January 1, 2018. </w:t>
      </w:r>
    </w:p>
    <w:p w:rsidR="00D52ED7" w:rsidRDefault="00D52ED7" w:rsidP="0036492A">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January 2, 2018.  </w:t>
      </w:r>
    </w:p>
    <w:p w:rsidR="00D52ED7" w:rsidRPr="005C2A78" w:rsidRDefault="00D52ED7" w:rsidP="0036492A">
      <w:pPr>
        <w:spacing w:after="0" w:line="240" w:lineRule="auto"/>
        <w:jc w:val="both"/>
        <w:rPr>
          <w:rFonts w:eastAsia="Times New Roman" w:cs="Times New Roman"/>
          <w:szCs w:val="24"/>
        </w:rPr>
      </w:pPr>
    </w:p>
    <w:p w:rsidR="00D52ED7" w:rsidRPr="001222CB" w:rsidRDefault="00D52ED7" w:rsidP="001222C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655F92">
        <w:rPr>
          <w:rFonts w:cs="Times New Roman"/>
          <w:szCs w:val="24"/>
        </w:rPr>
        <w:t>Requires</w:t>
      </w:r>
      <w:r>
        <w:rPr>
          <w:rFonts w:cs="Times New Roman"/>
          <w:szCs w:val="24"/>
        </w:rPr>
        <w:t xml:space="preserve"> that</w:t>
      </w:r>
      <w:r w:rsidRPr="00655F92">
        <w:rPr>
          <w:rFonts w:cs="Times New Roman"/>
          <w:szCs w:val="24"/>
        </w:rPr>
        <w:t xml:space="preserve"> this proposed constitutional amendment be submitted to the voters at an election to be held on November 7, 2017. Sets forth the required language for the ballot.</w:t>
      </w:r>
    </w:p>
    <w:sectPr w:rsidR="00D52ED7" w:rsidRPr="001222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F5" w:rsidRDefault="00D076F5" w:rsidP="000F1DF9">
      <w:pPr>
        <w:spacing w:after="0" w:line="240" w:lineRule="auto"/>
      </w:pPr>
      <w:r>
        <w:separator/>
      </w:r>
    </w:p>
  </w:endnote>
  <w:endnote w:type="continuationSeparator" w:id="0">
    <w:p w:rsidR="00D076F5" w:rsidRDefault="00D076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6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ED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2ED7">
                <w:rPr>
                  <w:sz w:val="20"/>
                  <w:szCs w:val="20"/>
                </w:rPr>
                <w:t>C.S.S.J.R.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2E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6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2E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2E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F5" w:rsidRDefault="00D076F5" w:rsidP="000F1DF9">
      <w:pPr>
        <w:spacing w:after="0" w:line="240" w:lineRule="auto"/>
      </w:pPr>
      <w:r>
        <w:separator/>
      </w:r>
    </w:p>
  </w:footnote>
  <w:footnote w:type="continuationSeparator" w:id="0">
    <w:p w:rsidR="00D076F5" w:rsidRDefault="00D076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76F5"/>
    <w:rsid w:val="00D11363"/>
    <w:rsid w:val="00D52ED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E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E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DBE" w:rsidP="00EC6D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C47342EBE34920BD39829EF6AEE962"/>
        <w:category>
          <w:name w:val="General"/>
          <w:gallery w:val="placeholder"/>
        </w:category>
        <w:types>
          <w:type w:val="bbPlcHdr"/>
        </w:types>
        <w:behaviors>
          <w:behavior w:val="content"/>
        </w:behaviors>
        <w:guid w:val="{2A12EBDD-2D96-4C49-AC56-64643048E76A}"/>
      </w:docPartPr>
      <w:docPartBody>
        <w:p w:rsidR="00000000" w:rsidRDefault="003F6AF9"/>
      </w:docPartBody>
    </w:docPart>
    <w:docPart>
      <w:docPartPr>
        <w:name w:val="C09789D3685D4F2E9667758E493835F4"/>
        <w:category>
          <w:name w:val="General"/>
          <w:gallery w:val="placeholder"/>
        </w:category>
        <w:types>
          <w:type w:val="bbPlcHdr"/>
        </w:types>
        <w:behaviors>
          <w:behavior w:val="content"/>
        </w:behaviors>
        <w:guid w:val="{27A55C80-D40D-4BC2-B8F7-ACB649F849FA}"/>
      </w:docPartPr>
      <w:docPartBody>
        <w:p w:rsidR="00000000" w:rsidRDefault="003F6AF9"/>
      </w:docPartBody>
    </w:docPart>
    <w:docPart>
      <w:docPartPr>
        <w:name w:val="DB3876C2CEBA49F5A9212FEE7E0724ED"/>
        <w:category>
          <w:name w:val="General"/>
          <w:gallery w:val="placeholder"/>
        </w:category>
        <w:types>
          <w:type w:val="bbPlcHdr"/>
        </w:types>
        <w:behaviors>
          <w:behavior w:val="content"/>
        </w:behaviors>
        <w:guid w:val="{398FE5F0-DF00-4C81-B230-1F0FD5BE7DE8}"/>
      </w:docPartPr>
      <w:docPartBody>
        <w:p w:rsidR="00000000" w:rsidRDefault="003F6AF9"/>
      </w:docPartBody>
    </w:docPart>
    <w:docPart>
      <w:docPartPr>
        <w:name w:val="8026950F97E04EF293E8C4205603ADFE"/>
        <w:category>
          <w:name w:val="General"/>
          <w:gallery w:val="placeholder"/>
        </w:category>
        <w:types>
          <w:type w:val="bbPlcHdr"/>
        </w:types>
        <w:behaviors>
          <w:behavior w:val="content"/>
        </w:behaviors>
        <w:guid w:val="{F677AAA7-E2B8-47A6-9B8D-639FE39723C2}"/>
      </w:docPartPr>
      <w:docPartBody>
        <w:p w:rsidR="00000000" w:rsidRDefault="003F6AF9"/>
      </w:docPartBody>
    </w:docPart>
    <w:docPart>
      <w:docPartPr>
        <w:name w:val="97D8270311FA4653BF4D5723D0DC2E9E"/>
        <w:category>
          <w:name w:val="General"/>
          <w:gallery w:val="placeholder"/>
        </w:category>
        <w:types>
          <w:type w:val="bbPlcHdr"/>
        </w:types>
        <w:behaviors>
          <w:behavior w:val="content"/>
        </w:behaviors>
        <w:guid w:val="{A29B944B-3C22-425A-BE6B-B2C7D7111494}"/>
      </w:docPartPr>
      <w:docPartBody>
        <w:p w:rsidR="00000000" w:rsidRDefault="003F6AF9"/>
      </w:docPartBody>
    </w:docPart>
    <w:docPart>
      <w:docPartPr>
        <w:name w:val="5118D13E853B436C8140ABA0EEFAF9FF"/>
        <w:category>
          <w:name w:val="General"/>
          <w:gallery w:val="placeholder"/>
        </w:category>
        <w:types>
          <w:type w:val="bbPlcHdr"/>
        </w:types>
        <w:behaviors>
          <w:behavior w:val="content"/>
        </w:behaviors>
        <w:guid w:val="{00196838-4382-4C06-B84E-AFA89D892599}"/>
      </w:docPartPr>
      <w:docPartBody>
        <w:p w:rsidR="00000000" w:rsidRDefault="003F6AF9"/>
      </w:docPartBody>
    </w:docPart>
    <w:docPart>
      <w:docPartPr>
        <w:name w:val="00D099A99EBD43B5BBA038D0A41C1A46"/>
        <w:category>
          <w:name w:val="General"/>
          <w:gallery w:val="placeholder"/>
        </w:category>
        <w:types>
          <w:type w:val="bbPlcHdr"/>
        </w:types>
        <w:behaviors>
          <w:behavior w:val="content"/>
        </w:behaviors>
        <w:guid w:val="{6530E77B-8D31-46A7-9431-229256A25AC0}"/>
      </w:docPartPr>
      <w:docPartBody>
        <w:p w:rsidR="00000000" w:rsidRDefault="003F6AF9"/>
      </w:docPartBody>
    </w:docPart>
    <w:docPart>
      <w:docPartPr>
        <w:name w:val="F88081DFB08644B09AF506E11195D672"/>
        <w:category>
          <w:name w:val="General"/>
          <w:gallery w:val="placeholder"/>
        </w:category>
        <w:types>
          <w:type w:val="bbPlcHdr"/>
        </w:types>
        <w:behaviors>
          <w:behavior w:val="content"/>
        </w:behaviors>
        <w:guid w:val="{96213712-4A51-4E29-8DD7-06A0E151F218}"/>
      </w:docPartPr>
      <w:docPartBody>
        <w:p w:rsidR="00000000" w:rsidRDefault="003F6AF9"/>
      </w:docPartBody>
    </w:docPart>
    <w:docPart>
      <w:docPartPr>
        <w:name w:val="B9F318EE4570420AA65F20D451DD76B3"/>
        <w:category>
          <w:name w:val="General"/>
          <w:gallery w:val="placeholder"/>
        </w:category>
        <w:types>
          <w:type w:val="bbPlcHdr"/>
        </w:types>
        <w:behaviors>
          <w:behavior w:val="content"/>
        </w:behaviors>
        <w:guid w:val="{7F70F388-4F01-4807-B71F-800DA421296B}"/>
      </w:docPartPr>
      <w:docPartBody>
        <w:p w:rsidR="00000000" w:rsidRDefault="00EC6DBE" w:rsidP="00EC6DBE">
          <w:pPr>
            <w:pStyle w:val="B9F318EE4570420AA65F20D451DD76B3"/>
          </w:pPr>
          <w:r w:rsidRPr="00A30DD1">
            <w:rPr>
              <w:rStyle w:val="PlaceholderText"/>
            </w:rPr>
            <w:t>Click here to enter a date.</w:t>
          </w:r>
        </w:p>
      </w:docPartBody>
    </w:docPart>
    <w:docPart>
      <w:docPartPr>
        <w:name w:val="8D70E8465C44447293C5B8D2306C82C0"/>
        <w:category>
          <w:name w:val="General"/>
          <w:gallery w:val="placeholder"/>
        </w:category>
        <w:types>
          <w:type w:val="bbPlcHdr"/>
        </w:types>
        <w:behaviors>
          <w:behavior w:val="content"/>
        </w:behaviors>
        <w:guid w:val="{90737135-ED1F-479C-A756-146A8D562DD5}"/>
      </w:docPartPr>
      <w:docPartBody>
        <w:p w:rsidR="00000000" w:rsidRDefault="003F6AF9"/>
      </w:docPartBody>
    </w:docPart>
    <w:docPart>
      <w:docPartPr>
        <w:name w:val="514853C749014E678A3D0BBB891BABE5"/>
        <w:category>
          <w:name w:val="General"/>
          <w:gallery w:val="placeholder"/>
        </w:category>
        <w:types>
          <w:type w:val="bbPlcHdr"/>
        </w:types>
        <w:behaviors>
          <w:behavior w:val="content"/>
        </w:behaviors>
        <w:guid w:val="{24CE557E-551C-444E-B5CD-1672F353DDB2}"/>
      </w:docPartPr>
      <w:docPartBody>
        <w:p w:rsidR="00000000" w:rsidRDefault="003F6AF9"/>
      </w:docPartBody>
    </w:docPart>
    <w:docPart>
      <w:docPartPr>
        <w:name w:val="CAA9AD0C719C464F88D4E69A8C34E4D8"/>
        <w:category>
          <w:name w:val="General"/>
          <w:gallery w:val="placeholder"/>
        </w:category>
        <w:types>
          <w:type w:val="bbPlcHdr"/>
        </w:types>
        <w:behaviors>
          <w:behavior w:val="content"/>
        </w:behaviors>
        <w:guid w:val="{BEDD0335-97F2-4CC6-8243-1147386EC2AE}"/>
      </w:docPartPr>
      <w:docPartBody>
        <w:p w:rsidR="00000000" w:rsidRDefault="00EC6DBE" w:rsidP="00EC6DBE">
          <w:pPr>
            <w:pStyle w:val="CAA9AD0C719C464F88D4E69A8C34E4D8"/>
          </w:pPr>
          <w:r>
            <w:rPr>
              <w:rFonts w:eastAsia="Times New Roman" w:cs="Times New Roman"/>
              <w:bCs/>
              <w:szCs w:val="24"/>
            </w:rPr>
            <w:t xml:space="preserve"> </w:t>
          </w:r>
        </w:p>
      </w:docPartBody>
    </w:docPart>
    <w:docPart>
      <w:docPartPr>
        <w:name w:val="E437512C3CAA41798180F0154A3E783A"/>
        <w:category>
          <w:name w:val="General"/>
          <w:gallery w:val="placeholder"/>
        </w:category>
        <w:types>
          <w:type w:val="bbPlcHdr"/>
        </w:types>
        <w:behaviors>
          <w:behavior w:val="content"/>
        </w:behaviors>
        <w:guid w:val="{16EA9034-8F80-4FD5-9DA0-D50A8E0F2B91}"/>
      </w:docPartPr>
      <w:docPartBody>
        <w:p w:rsidR="00000000" w:rsidRDefault="003F6AF9"/>
      </w:docPartBody>
    </w:docPart>
    <w:docPart>
      <w:docPartPr>
        <w:name w:val="13372C18040541899B5EE6567612456A"/>
        <w:category>
          <w:name w:val="General"/>
          <w:gallery w:val="placeholder"/>
        </w:category>
        <w:types>
          <w:type w:val="bbPlcHdr"/>
        </w:types>
        <w:behaviors>
          <w:behavior w:val="content"/>
        </w:behaviors>
        <w:guid w:val="{3DB6832A-AEC0-4A60-9C1B-AB32FEC1374B}"/>
      </w:docPartPr>
      <w:docPartBody>
        <w:p w:rsidR="00000000" w:rsidRDefault="003F6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AF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6D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DBE"/>
    <w:rPr>
      <w:rFonts w:ascii="Times New Roman" w:hAnsi="Times New Roman"/>
      <w:sz w:val="24"/>
    </w:rPr>
  </w:style>
  <w:style w:type="paragraph" w:customStyle="1" w:styleId="487D89B4F8B34DB4967D41FE18F7F88D7">
    <w:name w:val="487D89B4F8B34DB4967D41FE18F7F88D7"/>
    <w:rsid w:val="00EC6DBE"/>
    <w:rPr>
      <w:rFonts w:ascii="Times New Roman" w:hAnsi="Times New Roman"/>
      <w:sz w:val="24"/>
    </w:rPr>
  </w:style>
  <w:style w:type="paragraph" w:customStyle="1" w:styleId="AE2570ED5D764CD7AF9686706F550F4620">
    <w:name w:val="AE2570ED5D764CD7AF9686706F550F4620"/>
    <w:rsid w:val="00EC6DBE"/>
    <w:pPr>
      <w:tabs>
        <w:tab w:val="center" w:pos="4680"/>
        <w:tab w:val="right" w:pos="9360"/>
      </w:tabs>
      <w:spacing w:after="0" w:line="240" w:lineRule="auto"/>
    </w:pPr>
    <w:rPr>
      <w:rFonts w:ascii="Times New Roman" w:hAnsi="Times New Roman"/>
      <w:sz w:val="24"/>
    </w:rPr>
  </w:style>
  <w:style w:type="paragraph" w:customStyle="1" w:styleId="B9F318EE4570420AA65F20D451DD76B3">
    <w:name w:val="B9F318EE4570420AA65F20D451DD76B3"/>
    <w:rsid w:val="00EC6DBE"/>
  </w:style>
  <w:style w:type="paragraph" w:customStyle="1" w:styleId="CAA9AD0C719C464F88D4E69A8C34E4D8">
    <w:name w:val="CAA9AD0C719C464F88D4E69A8C34E4D8"/>
    <w:rsid w:val="00EC6D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DBE"/>
    <w:rPr>
      <w:rFonts w:ascii="Times New Roman" w:hAnsi="Times New Roman"/>
      <w:sz w:val="24"/>
    </w:rPr>
  </w:style>
  <w:style w:type="paragraph" w:customStyle="1" w:styleId="487D89B4F8B34DB4967D41FE18F7F88D7">
    <w:name w:val="487D89B4F8B34DB4967D41FE18F7F88D7"/>
    <w:rsid w:val="00EC6DBE"/>
    <w:rPr>
      <w:rFonts w:ascii="Times New Roman" w:hAnsi="Times New Roman"/>
      <w:sz w:val="24"/>
    </w:rPr>
  </w:style>
  <w:style w:type="paragraph" w:customStyle="1" w:styleId="AE2570ED5D764CD7AF9686706F550F4620">
    <w:name w:val="AE2570ED5D764CD7AF9686706F550F4620"/>
    <w:rsid w:val="00EC6DBE"/>
    <w:pPr>
      <w:tabs>
        <w:tab w:val="center" w:pos="4680"/>
        <w:tab w:val="right" w:pos="9360"/>
      </w:tabs>
      <w:spacing w:after="0" w:line="240" w:lineRule="auto"/>
    </w:pPr>
    <w:rPr>
      <w:rFonts w:ascii="Times New Roman" w:hAnsi="Times New Roman"/>
      <w:sz w:val="24"/>
    </w:rPr>
  </w:style>
  <w:style w:type="paragraph" w:customStyle="1" w:styleId="B9F318EE4570420AA65F20D451DD76B3">
    <w:name w:val="B9F318EE4570420AA65F20D451DD76B3"/>
    <w:rsid w:val="00EC6DBE"/>
  </w:style>
  <w:style w:type="paragraph" w:customStyle="1" w:styleId="CAA9AD0C719C464F88D4E69A8C34E4D8">
    <w:name w:val="CAA9AD0C719C464F88D4E69A8C34E4D8"/>
    <w:rsid w:val="00EC6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86CB1D-D8AA-47E3-A5B3-19A3AC6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675</Words>
  <Characters>3849</Characters>
  <Application>Microsoft Office Word</Application>
  <DocSecurity>0</DocSecurity>
  <Lines>32</Lines>
  <Paragraphs>9</Paragraphs>
  <ScaleCrop>false</ScaleCrop>
  <Company>Texas Legislative Council</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2017-04-24T16:53:00Z</cp:lastPrinted>
  <dcterms:created xsi:type="dcterms:W3CDTF">2015-05-29T14:24:00Z</dcterms:created>
  <dcterms:modified xsi:type="dcterms:W3CDTF">2017-04-24T16:53:00Z</dcterms:modified>
</cp:coreProperties>
</file>

<file path=docProps/custom.xml><?xml version="1.0" encoding="utf-8"?>
<op:Properties xmlns:vt="http://schemas.openxmlformats.org/officeDocument/2006/docPropsVTypes" xmlns:op="http://schemas.openxmlformats.org/officeDocument/2006/custom-properties"/>
</file>