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9F3BDD" w:rsidTr="00345119">
        <w:tc>
          <w:tcPr>
            <w:tcW w:w="9576" w:type="dxa"/>
            <w:noWrap/>
          </w:tcPr>
          <w:p w:rsidR="008423E4" w:rsidRPr="0022177D" w:rsidRDefault="00FF2122" w:rsidP="00345119">
            <w:pPr>
              <w:pStyle w:val="Heading1"/>
            </w:pPr>
            <w:bookmarkStart w:id="0" w:name="_GoBack"/>
            <w:bookmarkEnd w:id="0"/>
            <w:r>
              <w:t>RESOLUTION ANALYSIS</w:t>
            </w:r>
          </w:p>
        </w:tc>
      </w:tr>
    </w:tbl>
    <w:p w:rsidR="008423E4" w:rsidRPr="0022177D" w:rsidRDefault="00FF2122" w:rsidP="008423E4">
      <w:pPr>
        <w:jc w:val="center"/>
      </w:pPr>
    </w:p>
    <w:p w:rsidR="008423E4" w:rsidRPr="00B31F0E" w:rsidRDefault="00FF2122" w:rsidP="008423E4"/>
    <w:p w:rsidR="008423E4" w:rsidRPr="00742794" w:rsidRDefault="00FF2122" w:rsidP="008423E4">
      <w:pPr>
        <w:tabs>
          <w:tab w:val="right" w:pos="9360"/>
        </w:tabs>
      </w:pPr>
    </w:p>
    <w:tbl>
      <w:tblPr>
        <w:tblW w:w="0" w:type="auto"/>
        <w:tblLayout w:type="fixed"/>
        <w:tblLook w:val="01E0" w:firstRow="1" w:lastRow="1" w:firstColumn="1" w:lastColumn="1" w:noHBand="0" w:noVBand="0"/>
      </w:tblPr>
      <w:tblGrid>
        <w:gridCol w:w="9576"/>
      </w:tblGrid>
      <w:tr w:rsidR="009F3BDD" w:rsidTr="00345119">
        <w:tc>
          <w:tcPr>
            <w:tcW w:w="9576" w:type="dxa"/>
          </w:tcPr>
          <w:p w:rsidR="008423E4" w:rsidRPr="00861995" w:rsidRDefault="00FF2122" w:rsidP="00345119">
            <w:pPr>
              <w:jc w:val="right"/>
            </w:pPr>
            <w:r>
              <w:t>S.J.R. 51</w:t>
            </w:r>
          </w:p>
        </w:tc>
      </w:tr>
      <w:tr w:rsidR="009F3BDD" w:rsidTr="00345119">
        <w:tc>
          <w:tcPr>
            <w:tcW w:w="9576" w:type="dxa"/>
          </w:tcPr>
          <w:p w:rsidR="008423E4" w:rsidRPr="00861995" w:rsidRDefault="00FF2122" w:rsidP="00345119">
            <w:pPr>
              <w:jc w:val="right"/>
            </w:pPr>
            <w:r>
              <w:t xml:space="preserve">By: </w:t>
            </w:r>
            <w:r>
              <w:t>Estes</w:t>
            </w:r>
          </w:p>
        </w:tc>
      </w:tr>
      <w:tr w:rsidR="009F3BDD" w:rsidTr="00345119">
        <w:tc>
          <w:tcPr>
            <w:tcW w:w="9576" w:type="dxa"/>
          </w:tcPr>
          <w:p w:rsidR="008423E4" w:rsidRPr="00861995" w:rsidRDefault="00FF2122" w:rsidP="00345119">
            <w:pPr>
              <w:jc w:val="right"/>
            </w:pPr>
            <w:r>
              <w:t>Ways &amp; Means</w:t>
            </w:r>
          </w:p>
        </w:tc>
      </w:tr>
      <w:tr w:rsidR="009F3BDD" w:rsidTr="00345119">
        <w:tc>
          <w:tcPr>
            <w:tcW w:w="9576" w:type="dxa"/>
          </w:tcPr>
          <w:p w:rsidR="008423E4" w:rsidRDefault="00FF2122" w:rsidP="00345119">
            <w:pPr>
              <w:jc w:val="right"/>
            </w:pPr>
            <w:r>
              <w:t>Committee Report (Unamended)</w:t>
            </w:r>
          </w:p>
        </w:tc>
      </w:tr>
    </w:tbl>
    <w:p w:rsidR="008423E4" w:rsidRDefault="00FF2122" w:rsidP="008423E4">
      <w:pPr>
        <w:tabs>
          <w:tab w:val="right" w:pos="9360"/>
        </w:tabs>
      </w:pPr>
    </w:p>
    <w:p w:rsidR="008423E4" w:rsidRDefault="00FF2122" w:rsidP="008423E4"/>
    <w:p w:rsidR="008423E4" w:rsidRDefault="00FF2122" w:rsidP="008423E4"/>
    <w:tbl>
      <w:tblPr>
        <w:tblW w:w="0" w:type="auto"/>
        <w:tblCellMar>
          <w:left w:w="115" w:type="dxa"/>
          <w:right w:w="115" w:type="dxa"/>
        </w:tblCellMar>
        <w:tblLook w:val="01E0" w:firstRow="1" w:lastRow="1" w:firstColumn="1" w:lastColumn="1" w:noHBand="0" w:noVBand="0"/>
      </w:tblPr>
      <w:tblGrid>
        <w:gridCol w:w="9576"/>
      </w:tblGrid>
      <w:tr w:rsidR="009F3BDD" w:rsidTr="00345119">
        <w:tc>
          <w:tcPr>
            <w:tcW w:w="9576" w:type="dxa"/>
          </w:tcPr>
          <w:p w:rsidR="008423E4" w:rsidRPr="00A8133F" w:rsidRDefault="00FF2122" w:rsidP="002930ED">
            <w:pPr>
              <w:rPr>
                <w:b/>
              </w:rPr>
            </w:pPr>
            <w:r w:rsidRPr="009C1E9A">
              <w:rPr>
                <w:b/>
                <w:u w:val="single"/>
              </w:rPr>
              <w:t>BACKGROUND AND PURPOSE</w:t>
            </w:r>
            <w:r>
              <w:rPr>
                <w:b/>
              </w:rPr>
              <w:t xml:space="preserve"> </w:t>
            </w:r>
          </w:p>
          <w:p w:rsidR="008423E4" w:rsidRDefault="00FF2122" w:rsidP="002930ED"/>
          <w:p w:rsidR="008423E4" w:rsidRDefault="00FF2122" w:rsidP="002930ED">
            <w:pPr>
              <w:pStyle w:val="Header"/>
              <w:jc w:val="both"/>
            </w:pPr>
            <w:r>
              <w:t xml:space="preserve">Interested parties note that oil and gas exploration and production is not included as a use for which land qualifies for appraisal as </w:t>
            </w:r>
            <w:r>
              <w:t>open-space land for property tax purposes and contend that this harms landowners who ordinarily have little, if any, say in whether facilities for oilfields are built or where they are located. S.J.R. 51 propose</w:t>
            </w:r>
            <w:r>
              <w:t>s</w:t>
            </w:r>
            <w:r>
              <w:t xml:space="preserve"> an amendment to </w:t>
            </w:r>
            <w:r>
              <w:t xml:space="preserve">the </w:t>
            </w:r>
            <w:r>
              <w:t xml:space="preserve">Texas Constitution to </w:t>
            </w:r>
            <w:r>
              <w:t>a</w:t>
            </w:r>
            <w:r>
              <w:t xml:space="preserve">uthorize </w:t>
            </w:r>
            <w:r>
              <w:t xml:space="preserve">the legislature to </w:t>
            </w:r>
            <w:r w:rsidRPr="00D4459A">
              <w:t>provide that the eligibility of open-space land for taxation on the basis of its productive capacity does not end because a lessee under an oil and gas lease begins conducting oil and gas operations</w:t>
            </w:r>
            <w:r>
              <w:t xml:space="preserve"> if certain conditions are met</w:t>
            </w:r>
            <w:r>
              <w:t>.</w:t>
            </w:r>
          </w:p>
          <w:p w:rsidR="008423E4" w:rsidRPr="00E26B13" w:rsidRDefault="00FF2122" w:rsidP="002930ED">
            <w:pPr>
              <w:rPr>
                <w:b/>
              </w:rPr>
            </w:pPr>
          </w:p>
        </w:tc>
      </w:tr>
      <w:tr w:rsidR="009F3BDD" w:rsidTr="00345119">
        <w:tc>
          <w:tcPr>
            <w:tcW w:w="9576" w:type="dxa"/>
          </w:tcPr>
          <w:p w:rsidR="0017725B" w:rsidRDefault="00FF2122" w:rsidP="002930ED">
            <w:pPr>
              <w:rPr>
                <w:b/>
                <w:u w:val="single"/>
              </w:rPr>
            </w:pPr>
            <w:r>
              <w:rPr>
                <w:b/>
                <w:u w:val="single"/>
              </w:rPr>
              <w:t>CRIMINAL JUSTICE IMPACT</w:t>
            </w:r>
          </w:p>
          <w:p w:rsidR="0017725B" w:rsidRDefault="00FF2122" w:rsidP="002930ED">
            <w:pPr>
              <w:rPr>
                <w:b/>
                <w:u w:val="single"/>
              </w:rPr>
            </w:pPr>
          </w:p>
          <w:p w:rsidR="00D4459A" w:rsidRPr="00D4459A" w:rsidRDefault="00FF2122" w:rsidP="002930ED">
            <w:pPr>
              <w:jc w:val="both"/>
            </w:pPr>
            <w:r>
              <w:t>It is the committee's opinion that this resolution does not expressly create a criminal offense, increase the punishment for an existing criminal offense or category of offenses, or change the eligibility of a person for commun</w:t>
            </w:r>
            <w:r>
              <w:t>ity supervision, parole, or mandatory supervision.</w:t>
            </w:r>
          </w:p>
          <w:p w:rsidR="0017725B" w:rsidRPr="0017725B" w:rsidRDefault="00FF2122" w:rsidP="002930ED">
            <w:pPr>
              <w:rPr>
                <w:b/>
                <w:u w:val="single"/>
              </w:rPr>
            </w:pPr>
          </w:p>
        </w:tc>
      </w:tr>
      <w:tr w:rsidR="009F3BDD" w:rsidTr="00345119">
        <w:tc>
          <w:tcPr>
            <w:tcW w:w="9576" w:type="dxa"/>
          </w:tcPr>
          <w:p w:rsidR="008423E4" w:rsidRPr="00A8133F" w:rsidRDefault="00FF2122" w:rsidP="002930ED">
            <w:pPr>
              <w:rPr>
                <w:b/>
              </w:rPr>
            </w:pPr>
            <w:r w:rsidRPr="009C1E9A">
              <w:rPr>
                <w:b/>
                <w:u w:val="single"/>
              </w:rPr>
              <w:t>RULEMAKING AUTHORITY</w:t>
            </w:r>
            <w:r>
              <w:rPr>
                <w:b/>
              </w:rPr>
              <w:t xml:space="preserve"> </w:t>
            </w:r>
          </w:p>
          <w:p w:rsidR="008423E4" w:rsidRDefault="00FF2122" w:rsidP="002930ED"/>
          <w:p w:rsidR="00D4459A" w:rsidRDefault="00FF2122" w:rsidP="002930ED">
            <w:pPr>
              <w:pStyle w:val="Header"/>
              <w:tabs>
                <w:tab w:val="clear" w:pos="4320"/>
                <w:tab w:val="clear" w:pos="8640"/>
              </w:tabs>
              <w:jc w:val="both"/>
            </w:pPr>
            <w:r>
              <w:t>It is the committee's opinion that this resolution does not expressly grant any additional rulemaking authority to a state officer, department, agency, or institution.</w:t>
            </w:r>
          </w:p>
          <w:p w:rsidR="008423E4" w:rsidRPr="00E21FDC" w:rsidRDefault="00FF2122" w:rsidP="002930ED">
            <w:pPr>
              <w:rPr>
                <w:b/>
              </w:rPr>
            </w:pPr>
          </w:p>
        </w:tc>
      </w:tr>
      <w:tr w:rsidR="009F3BDD" w:rsidTr="00345119">
        <w:tc>
          <w:tcPr>
            <w:tcW w:w="9576" w:type="dxa"/>
          </w:tcPr>
          <w:p w:rsidR="008423E4" w:rsidRPr="00A8133F" w:rsidRDefault="00FF2122" w:rsidP="002930ED">
            <w:pPr>
              <w:rPr>
                <w:b/>
              </w:rPr>
            </w:pPr>
            <w:r w:rsidRPr="009C1E9A">
              <w:rPr>
                <w:b/>
                <w:u w:val="single"/>
              </w:rPr>
              <w:t>ANALYSIS</w:t>
            </w:r>
            <w:r>
              <w:rPr>
                <w:b/>
              </w:rPr>
              <w:t xml:space="preserve"> </w:t>
            </w:r>
          </w:p>
          <w:p w:rsidR="008423E4" w:rsidRDefault="00FF2122" w:rsidP="002930ED"/>
          <w:p w:rsidR="008423E4" w:rsidRDefault="00FF2122" w:rsidP="002930ED">
            <w:pPr>
              <w:pStyle w:val="Header"/>
              <w:tabs>
                <w:tab w:val="clear" w:pos="4320"/>
                <w:tab w:val="clear" w:pos="8640"/>
              </w:tabs>
              <w:jc w:val="both"/>
            </w:pPr>
            <w:r>
              <w:t xml:space="preserve">S.J.R. 51 proposes an amendment to the </w:t>
            </w:r>
            <w:r>
              <w:t>Texas Constitution to authorize t</w:t>
            </w:r>
            <w:r w:rsidRPr="00D4459A">
              <w:t xml:space="preserve">he legislature by general law </w:t>
            </w:r>
            <w:r>
              <w:t>to</w:t>
            </w:r>
            <w:r w:rsidRPr="00D4459A">
              <w:t xml:space="preserve"> provide that the eligibility of open-space land for taxation on the basis of its productive capacity does not end because a lessee under an oil and gas lease begins conducting oil and gas operations on the land if the portion of the land on which oil and </w:t>
            </w:r>
            <w:r w:rsidRPr="00D4459A">
              <w:t xml:space="preserve">gas operations are not being conducted otherwise continues to be devoted to </w:t>
            </w:r>
            <w:r w:rsidRPr="00FA50B8">
              <w:t>farm, ranch, or wildlife management purposes</w:t>
            </w:r>
            <w:r>
              <w:t xml:space="preserve"> or timber production</w:t>
            </w:r>
            <w:r w:rsidRPr="00D4459A">
              <w:t>.</w:t>
            </w:r>
          </w:p>
          <w:p w:rsidR="008423E4" w:rsidRPr="00835628" w:rsidRDefault="00FF2122" w:rsidP="002930ED">
            <w:pPr>
              <w:rPr>
                <w:b/>
              </w:rPr>
            </w:pPr>
          </w:p>
        </w:tc>
      </w:tr>
      <w:tr w:rsidR="009F3BDD" w:rsidTr="00345119">
        <w:tc>
          <w:tcPr>
            <w:tcW w:w="9576" w:type="dxa"/>
          </w:tcPr>
          <w:p w:rsidR="008423E4" w:rsidRPr="00A8133F" w:rsidRDefault="00FF2122" w:rsidP="002930ED">
            <w:pPr>
              <w:rPr>
                <w:b/>
              </w:rPr>
            </w:pPr>
            <w:r>
              <w:rPr>
                <w:b/>
                <w:u w:val="single"/>
              </w:rPr>
              <w:t>ELECTION DATE</w:t>
            </w:r>
            <w:r>
              <w:rPr>
                <w:b/>
              </w:rPr>
              <w:t xml:space="preserve"> </w:t>
            </w:r>
          </w:p>
          <w:p w:rsidR="008423E4" w:rsidRDefault="00FF2122" w:rsidP="002930ED"/>
          <w:p w:rsidR="008423E4" w:rsidRPr="003624F2" w:rsidRDefault="00FF2122" w:rsidP="002930ED">
            <w:pPr>
              <w:pStyle w:val="Header"/>
              <w:tabs>
                <w:tab w:val="clear" w:pos="4320"/>
                <w:tab w:val="clear" w:pos="8640"/>
              </w:tabs>
              <w:jc w:val="both"/>
            </w:pPr>
            <w:r>
              <w:t xml:space="preserve">The constitutional amendment proposed by this joint resolution will be submitted to the voters </w:t>
            </w:r>
            <w:r>
              <w:t>at an election to be held November 7, 2017.</w:t>
            </w:r>
          </w:p>
          <w:p w:rsidR="008423E4" w:rsidRPr="00233FDB" w:rsidRDefault="00FF2122" w:rsidP="002930ED">
            <w:pPr>
              <w:rPr>
                <w:b/>
              </w:rPr>
            </w:pPr>
          </w:p>
        </w:tc>
      </w:tr>
    </w:tbl>
    <w:p w:rsidR="008423E4" w:rsidRPr="00BE0E75" w:rsidRDefault="00FF2122" w:rsidP="008423E4">
      <w:pPr>
        <w:spacing w:line="480" w:lineRule="auto"/>
        <w:jc w:val="both"/>
        <w:rPr>
          <w:rFonts w:ascii="Arial" w:hAnsi="Arial"/>
          <w:sz w:val="16"/>
          <w:szCs w:val="16"/>
        </w:rPr>
      </w:pPr>
    </w:p>
    <w:p w:rsidR="004108C3" w:rsidRPr="008423E4" w:rsidRDefault="00FF2122"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F2122">
      <w:r>
        <w:separator/>
      </w:r>
    </w:p>
  </w:endnote>
  <w:endnote w:type="continuationSeparator" w:id="0">
    <w:p w:rsidR="00000000" w:rsidRDefault="00FF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F3BDD" w:rsidTr="009C1E9A">
      <w:trPr>
        <w:cantSplit/>
      </w:trPr>
      <w:tc>
        <w:tcPr>
          <w:tcW w:w="0" w:type="pct"/>
        </w:tcPr>
        <w:p w:rsidR="00137D90" w:rsidRDefault="00FF2122" w:rsidP="009C1E9A">
          <w:pPr>
            <w:pStyle w:val="Footer"/>
            <w:tabs>
              <w:tab w:val="clear" w:pos="8640"/>
              <w:tab w:val="right" w:pos="9360"/>
            </w:tabs>
          </w:pPr>
        </w:p>
      </w:tc>
      <w:tc>
        <w:tcPr>
          <w:tcW w:w="2395" w:type="pct"/>
        </w:tcPr>
        <w:p w:rsidR="00137D90" w:rsidRDefault="00FF2122" w:rsidP="009C1E9A">
          <w:pPr>
            <w:pStyle w:val="Footer"/>
            <w:tabs>
              <w:tab w:val="clear" w:pos="8640"/>
              <w:tab w:val="right" w:pos="9360"/>
            </w:tabs>
          </w:pPr>
        </w:p>
        <w:p w:rsidR="001A4310" w:rsidRDefault="00FF2122" w:rsidP="009C1E9A">
          <w:pPr>
            <w:pStyle w:val="Footer"/>
            <w:tabs>
              <w:tab w:val="clear" w:pos="8640"/>
              <w:tab w:val="right" w:pos="9360"/>
            </w:tabs>
          </w:pPr>
        </w:p>
        <w:p w:rsidR="00137D90" w:rsidRDefault="00FF2122" w:rsidP="009C1E9A">
          <w:pPr>
            <w:pStyle w:val="Footer"/>
            <w:tabs>
              <w:tab w:val="clear" w:pos="8640"/>
              <w:tab w:val="right" w:pos="9360"/>
            </w:tabs>
          </w:pPr>
        </w:p>
      </w:tc>
      <w:tc>
        <w:tcPr>
          <w:tcW w:w="2453" w:type="pct"/>
        </w:tcPr>
        <w:p w:rsidR="00137D90" w:rsidRDefault="00FF2122" w:rsidP="009C1E9A">
          <w:pPr>
            <w:pStyle w:val="Footer"/>
            <w:tabs>
              <w:tab w:val="clear" w:pos="8640"/>
              <w:tab w:val="right" w:pos="9360"/>
            </w:tabs>
            <w:jc w:val="right"/>
          </w:pPr>
        </w:p>
      </w:tc>
    </w:tr>
    <w:tr w:rsidR="009F3BDD" w:rsidTr="009C1E9A">
      <w:trPr>
        <w:cantSplit/>
      </w:trPr>
      <w:tc>
        <w:tcPr>
          <w:tcW w:w="0" w:type="pct"/>
        </w:tcPr>
        <w:p w:rsidR="00EC379B" w:rsidRDefault="00FF2122" w:rsidP="009C1E9A">
          <w:pPr>
            <w:pStyle w:val="Footer"/>
            <w:tabs>
              <w:tab w:val="clear" w:pos="8640"/>
              <w:tab w:val="right" w:pos="9360"/>
            </w:tabs>
          </w:pPr>
        </w:p>
      </w:tc>
      <w:tc>
        <w:tcPr>
          <w:tcW w:w="2395" w:type="pct"/>
        </w:tcPr>
        <w:p w:rsidR="00EC379B" w:rsidRPr="009C1E9A" w:rsidRDefault="00FF2122" w:rsidP="009C1E9A">
          <w:pPr>
            <w:pStyle w:val="Footer"/>
            <w:tabs>
              <w:tab w:val="clear" w:pos="8640"/>
              <w:tab w:val="right" w:pos="9360"/>
            </w:tabs>
            <w:rPr>
              <w:rFonts w:ascii="Shruti" w:hAnsi="Shruti"/>
              <w:sz w:val="22"/>
            </w:rPr>
          </w:pPr>
          <w:r>
            <w:rPr>
              <w:rFonts w:ascii="Shruti" w:hAnsi="Shruti"/>
              <w:sz w:val="22"/>
            </w:rPr>
            <w:t>85R 31733</w:t>
          </w:r>
        </w:p>
      </w:tc>
      <w:tc>
        <w:tcPr>
          <w:tcW w:w="2453" w:type="pct"/>
        </w:tcPr>
        <w:p w:rsidR="00EC379B" w:rsidRDefault="00FF2122" w:rsidP="009C1E9A">
          <w:pPr>
            <w:pStyle w:val="Footer"/>
            <w:tabs>
              <w:tab w:val="clear" w:pos="8640"/>
              <w:tab w:val="right" w:pos="9360"/>
            </w:tabs>
            <w:jc w:val="right"/>
          </w:pPr>
          <w:r>
            <w:fldChar w:fldCharType="begin"/>
          </w:r>
          <w:r>
            <w:instrText xml:space="preserve"> DOCPROPERTY  OTID  \* MERGEFORMAT </w:instrText>
          </w:r>
          <w:r>
            <w:fldChar w:fldCharType="separate"/>
          </w:r>
          <w:r>
            <w:t>17.137.523</w:t>
          </w:r>
          <w:r>
            <w:fldChar w:fldCharType="end"/>
          </w:r>
        </w:p>
      </w:tc>
    </w:tr>
    <w:tr w:rsidR="009F3BDD" w:rsidTr="009C1E9A">
      <w:trPr>
        <w:cantSplit/>
      </w:trPr>
      <w:tc>
        <w:tcPr>
          <w:tcW w:w="0" w:type="pct"/>
        </w:tcPr>
        <w:p w:rsidR="00EC379B" w:rsidRDefault="00FF2122" w:rsidP="009C1E9A">
          <w:pPr>
            <w:pStyle w:val="Footer"/>
            <w:tabs>
              <w:tab w:val="clear" w:pos="4320"/>
              <w:tab w:val="clear" w:pos="8640"/>
              <w:tab w:val="left" w:pos="2865"/>
            </w:tabs>
          </w:pPr>
        </w:p>
      </w:tc>
      <w:tc>
        <w:tcPr>
          <w:tcW w:w="2395" w:type="pct"/>
        </w:tcPr>
        <w:p w:rsidR="00EC379B" w:rsidRPr="009C1E9A" w:rsidRDefault="00FF2122" w:rsidP="009C1E9A">
          <w:pPr>
            <w:pStyle w:val="Footer"/>
            <w:tabs>
              <w:tab w:val="clear" w:pos="4320"/>
              <w:tab w:val="clear" w:pos="8640"/>
              <w:tab w:val="left" w:pos="2865"/>
            </w:tabs>
            <w:rPr>
              <w:rFonts w:ascii="Shruti" w:hAnsi="Shruti"/>
              <w:sz w:val="22"/>
            </w:rPr>
          </w:pPr>
        </w:p>
      </w:tc>
      <w:tc>
        <w:tcPr>
          <w:tcW w:w="2453" w:type="pct"/>
        </w:tcPr>
        <w:p w:rsidR="00EC379B" w:rsidRDefault="00FF2122" w:rsidP="006D504F">
          <w:pPr>
            <w:pStyle w:val="Footer"/>
            <w:rPr>
              <w:rStyle w:val="PageNumber"/>
            </w:rPr>
          </w:pPr>
        </w:p>
        <w:p w:rsidR="00EC379B" w:rsidRDefault="00FF2122" w:rsidP="009C1E9A">
          <w:pPr>
            <w:pStyle w:val="Footer"/>
            <w:tabs>
              <w:tab w:val="clear" w:pos="8640"/>
              <w:tab w:val="right" w:pos="9360"/>
            </w:tabs>
            <w:jc w:val="right"/>
          </w:pPr>
        </w:p>
      </w:tc>
    </w:tr>
    <w:tr w:rsidR="009F3BDD" w:rsidTr="009C1E9A">
      <w:trPr>
        <w:cantSplit/>
        <w:trHeight w:val="323"/>
      </w:trPr>
      <w:tc>
        <w:tcPr>
          <w:tcW w:w="0" w:type="pct"/>
          <w:gridSpan w:val="3"/>
        </w:tcPr>
        <w:p w:rsidR="00EC379B" w:rsidRDefault="00FF212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F2122" w:rsidP="009C1E9A">
          <w:pPr>
            <w:pStyle w:val="Footer"/>
            <w:tabs>
              <w:tab w:val="clear" w:pos="8640"/>
              <w:tab w:val="right" w:pos="9360"/>
            </w:tabs>
            <w:jc w:val="center"/>
          </w:pPr>
        </w:p>
      </w:tc>
    </w:tr>
  </w:tbl>
  <w:p w:rsidR="00EC379B" w:rsidRPr="00FF6F72" w:rsidRDefault="00FF2122"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F2122">
      <w:r>
        <w:separator/>
      </w:r>
    </w:p>
  </w:footnote>
  <w:footnote w:type="continuationSeparator" w:id="0">
    <w:p w:rsidR="00000000" w:rsidRDefault="00FF21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BDD"/>
    <w:rsid w:val="009F3BDD"/>
    <w:rsid w:val="00FF2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4459A"/>
    <w:rPr>
      <w:sz w:val="16"/>
      <w:szCs w:val="16"/>
    </w:rPr>
  </w:style>
  <w:style w:type="paragraph" w:styleId="CommentText">
    <w:name w:val="annotation text"/>
    <w:basedOn w:val="Normal"/>
    <w:link w:val="CommentTextChar"/>
    <w:rsid w:val="00D4459A"/>
    <w:rPr>
      <w:sz w:val="20"/>
      <w:szCs w:val="20"/>
    </w:rPr>
  </w:style>
  <w:style w:type="character" w:customStyle="1" w:styleId="CommentTextChar">
    <w:name w:val="Comment Text Char"/>
    <w:basedOn w:val="DefaultParagraphFont"/>
    <w:link w:val="CommentText"/>
    <w:rsid w:val="00D4459A"/>
  </w:style>
  <w:style w:type="paragraph" w:styleId="CommentSubject">
    <w:name w:val="annotation subject"/>
    <w:basedOn w:val="CommentText"/>
    <w:next w:val="CommentText"/>
    <w:link w:val="CommentSubjectChar"/>
    <w:rsid w:val="00D4459A"/>
    <w:rPr>
      <w:b/>
      <w:bCs/>
    </w:rPr>
  </w:style>
  <w:style w:type="character" w:customStyle="1" w:styleId="CommentSubjectChar">
    <w:name w:val="Comment Subject Char"/>
    <w:basedOn w:val="CommentTextChar"/>
    <w:link w:val="CommentSubject"/>
    <w:rsid w:val="00D445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4459A"/>
    <w:rPr>
      <w:sz w:val="16"/>
      <w:szCs w:val="16"/>
    </w:rPr>
  </w:style>
  <w:style w:type="paragraph" w:styleId="CommentText">
    <w:name w:val="annotation text"/>
    <w:basedOn w:val="Normal"/>
    <w:link w:val="CommentTextChar"/>
    <w:rsid w:val="00D4459A"/>
    <w:rPr>
      <w:sz w:val="20"/>
      <w:szCs w:val="20"/>
    </w:rPr>
  </w:style>
  <w:style w:type="character" w:customStyle="1" w:styleId="CommentTextChar">
    <w:name w:val="Comment Text Char"/>
    <w:basedOn w:val="DefaultParagraphFont"/>
    <w:link w:val="CommentText"/>
    <w:rsid w:val="00D4459A"/>
  </w:style>
  <w:style w:type="paragraph" w:styleId="CommentSubject">
    <w:name w:val="annotation subject"/>
    <w:basedOn w:val="CommentText"/>
    <w:next w:val="CommentText"/>
    <w:link w:val="CommentSubjectChar"/>
    <w:rsid w:val="00D4459A"/>
    <w:rPr>
      <w:b/>
      <w:bCs/>
    </w:rPr>
  </w:style>
  <w:style w:type="character" w:customStyle="1" w:styleId="CommentSubjectChar">
    <w:name w:val="Comment Subject Char"/>
    <w:basedOn w:val="CommentTextChar"/>
    <w:link w:val="CommentSubject"/>
    <w:rsid w:val="00D445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1607</Characters>
  <Application>Microsoft Office Word</Application>
  <DocSecurity>4</DocSecurity>
  <Lines>47</Lines>
  <Paragraphs>15</Paragraphs>
  <ScaleCrop>false</ScaleCrop>
  <HeadingPairs>
    <vt:vector size="2" baseType="variant">
      <vt:variant>
        <vt:lpstr>Title</vt:lpstr>
      </vt:variant>
      <vt:variant>
        <vt:i4>1</vt:i4>
      </vt:variant>
    </vt:vector>
  </HeadingPairs>
  <TitlesOfParts>
    <vt:vector size="1" baseType="lpstr">
      <vt:lpstr>BA - SJR00051 (Committee Report (Unamended))</vt:lpstr>
    </vt:vector>
  </TitlesOfParts>
  <Company>State of Texas</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31733</dc:subject>
  <dc:creator>State of Texas</dc:creator>
  <dc:description>SJR 51 by Estes-(H)Ways &amp; Means</dc:description>
  <cp:lastModifiedBy>Molly Hoffman-Bricker</cp:lastModifiedBy>
  <cp:revision>2</cp:revision>
  <cp:lastPrinted>2017-05-17T21:52:00Z</cp:lastPrinted>
  <dcterms:created xsi:type="dcterms:W3CDTF">2017-05-19T22:37:00Z</dcterms:created>
  <dcterms:modified xsi:type="dcterms:W3CDTF">2017-05-19T22:37:00Z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17.137.523</vt:lpwstr>
  </property>
</Properties>
</file>