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73FB6" w:rsidTr="00E013A8">
        <w:trPr>
          <w:cantSplit/>
          <w:tblHeader/>
        </w:trPr>
        <w:tc>
          <w:tcPr>
            <w:tcW w:w="18740" w:type="dxa"/>
            <w:gridSpan w:val="3"/>
          </w:tcPr>
          <w:p w:rsidR="008A2432" w:rsidRDefault="00BA6C0B">
            <w:pPr>
              <w:ind w:left="650"/>
              <w:jc w:val="center"/>
            </w:pPr>
            <w:bookmarkStart w:id="0" w:name="_GoBack"/>
            <w:bookmarkEnd w:id="0"/>
            <w:r>
              <w:rPr>
                <w:b/>
              </w:rPr>
              <w:t>House Bill  804</w:t>
            </w:r>
          </w:p>
          <w:p w:rsidR="008A2432" w:rsidRDefault="00BA6C0B">
            <w:pPr>
              <w:ind w:left="650"/>
              <w:jc w:val="center"/>
            </w:pPr>
            <w:r>
              <w:t>Senate Amendments</w:t>
            </w:r>
          </w:p>
          <w:p w:rsidR="008A2432" w:rsidRDefault="00BA6C0B">
            <w:pPr>
              <w:ind w:left="650"/>
              <w:jc w:val="center"/>
            </w:pPr>
            <w:r>
              <w:t>Section-by-Section Analysis</w:t>
            </w:r>
          </w:p>
          <w:p w:rsidR="008A2432" w:rsidRDefault="008A2432">
            <w:pPr>
              <w:jc w:val="center"/>
            </w:pPr>
          </w:p>
        </w:tc>
      </w:tr>
      <w:tr w:rsidR="008A2432" w:rsidTr="00E013A8">
        <w:trPr>
          <w:cantSplit/>
          <w:tblHeader/>
        </w:trPr>
        <w:tc>
          <w:tcPr>
            <w:tcW w:w="6248" w:type="dxa"/>
            <w:tcMar>
              <w:bottom w:w="188" w:type="dxa"/>
              <w:right w:w="0" w:type="dxa"/>
            </w:tcMar>
          </w:tcPr>
          <w:p w:rsidR="008A2432" w:rsidRDefault="00BA6C0B">
            <w:pPr>
              <w:jc w:val="center"/>
            </w:pPr>
            <w:r>
              <w:t>HOUSE VERSION</w:t>
            </w:r>
          </w:p>
        </w:tc>
        <w:tc>
          <w:tcPr>
            <w:tcW w:w="6248" w:type="dxa"/>
            <w:tcMar>
              <w:bottom w:w="188" w:type="dxa"/>
              <w:right w:w="0" w:type="dxa"/>
            </w:tcMar>
          </w:tcPr>
          <w:p w:rsidR="008A2432" w:rsidRDefault="00BA6C0B">
            <w:pPr>
              <w:jc w:val="center"/>
            </w:pPr>
            <w:r>
              <w:t>SENATE VERSION (IE)</w:t>
            </w:r>
          </w:p>
        </w:tc>
        <w:tc>
          <w:tcPr>
            <w:tcW w:w="6244" w:type="dxa"/>
            <w:tcMar>
              <w:bottom w:w="188" w:type="dxa"/>
              <w:right w:w="0" w:type="dxa"/>
            </w:tcMar>
          </w:tcPr>
          <w:p w:rsidR="008A2432" w:rsidRDefault="00BA6C0B">
            <w:pPr>
              <w:jc w:val="center"/>
            </w:pPr>
            <w:r>
              <w:t>CONFERENCE</w:t>
            </w:r>
          </w:p>
        </w:tc>
      </w:tr>
      <w:tr w:rsidR="008A2432" w:rsidTr="00E013A8">
        <w:tc>
          <w:tcPr>
            <w:tcW w:w="6248" w:type="dxa"/>
          </w:tcPr>
          <w:p w:rsidR="008A2432" w:rsidRDefault="00BA6C0B">
            <w:pPr>
              <w:jc w:val="both"/>
            </w:pPr>
            <w:r>
              <w:t>SECTION 1.  Section 41.413, Tax Code, is amended by amending Subsection (d) and adding Subsections (e) and (f) to read as follows:</w:t>
            </w:r>
          </w:p>
          <w:p w:rsidR="008A2432" w:rsidRDefault="00BA6C0B">
            <w:pPr>
              <w:jc w:val="both"/>
            </w:pPr>
            <w:r>
              <w:t xml:space="preserve">(d)  </w:t>
            </w:r>
            <w:r>
              <w:rPr>
                <w:u w:val="single"/>
              </w:rPr>
              <w:t>A</w:t>
            </w:r>
            <w:r>
              <w:t xml:space="preserve"> [</w:t>
            </w:r>
            <w:r>
              <w:rPr>
                <w:strike/>
              </w:rPr>
              <w:t>The</w:t>
            </w:r>
            <w:r>
              <w:t>] property owner shall [</w:t>
            </w:r>
            <w:r>
              <w:rPr>
                <w:strike/>
              </w:rPr>
              <w:t>timely</w:t>
            </w:r>
            <w:r>
              <w:t xml:space="preserve">] send to </w:t>
            </w:r>
            <w:r>
              <w:rPr>
                <w:u w:val="single"/>
              </w:rPr>
              <w:t>a</w:t>
            </w:r>
            <w:r>
              <w:t xml:space="preserve"> [</w:t>
            </w:r>
            <w:r>
              <w:rPr>
                <w:strike/>
              </w:rPr>
              <w:t>the</w:t>
            </w:r>
            <w:r>
              <w:t>] person leasing [</w:t>
            </w:r>
            <w:r>
              <w:rPr>
                <w:strike/>
              </w:rPr>
              <w:t>the</w:t>
            </w:r>
            <w:r>
              <w:t xml:space="preserve">] property </w:t>
            </w:r>
            <w:r>
              <w:rPr>
                <w:u w:val="single"/>
              </w:rPr>
              <w:t>under a contract described by this section</w:t>
            </w:r>
            <w:r>
              <w:t xml:space="preserve"> a copy of any notice of </w:t>
            </w:r>
            <w:r>
              <w:rPr>
                <w:u w:val="single"/>
              </w:rPr>
              <w:t>appraised value of the property</w:t>
            </w:r>
            <w:r>
              <w:t xml:space="preserve"> [</w:t>
            </w:r>
            <w:r>
              <w:rPr>
                <w:strike/>
              </w:rPr>
              <w:t>the property's reappraisal</w:t>
            </w:r>
            <w:r>
              <w:t xml:space="preserve">] received by the property owner. </w:t>
            </w:r>
            <w:r>
              <w:rPr>
                <w:u w:val="single"/>
              </w:rPr>
              <w:t>The property owner must send the notice not later than the 10th day after the date the property owner receives the notice.</w:t>
            </w:r>
            <w:r>
              <w:t xml:space="preserve"> Failure of the </w:t>
            </w:r>
            <w:r>
              <w:rPr>
                <w:u w:val="single"/>
              </w:rPr>
              <w:t>property</w:t>
            </w:r>
            <w:r>
              <w:t xml:space="preserve"> owner to send a copy of the notice to the person leasing the property does not affect the time within which the person leasing the property may protest the appraised value.  </w:t>
            </w:r>
            <w:r>
              <w:rPr>
                <w:u w:val="single"/>
              </w:rPr>
              <w:t xml:space="preserve">The property owner and person leasing the property </w:t>
            </w:r>
            <w:r w:rsidRPr="00173FB6">
              <w:rPr>
                <w:highlight w:val="lightGray"/>
                <w:u w:val="single"/>
              </w:rPr>
              <w:t>may</w:t>
            </w:r>
            <w:r>
              <w:rPr>
                <w:u w:val="single"/>
              </w:rPr>
              <w:t xml:space="preserve"> waive the requirements of this subsection </w:t>
            </w:r>
            <w:r w:rsidRPr="00173FB6">
              <w:rPr>
                <w:highlight w:val="lightGray"/>
                <w:u w:val="single"/>
              </w:rPr>
              <w:t>in the contract</w:t>
            </w:r>
            <w:r>
              <w:rPr>
                <w:u w:val="single"/>
              </w:rPr>
              <w:t>.</w:t>
            </w:r>
          </w:p>
          <w:p w:rsidR="00173FB6" w:rsidRDefault="00173FB6">
            <w:pPr>
              <w:jc w:val="both"/>
              <w:rPr>
                <w:u w:val="single"/>
              </w:rPr>
            </w:pPr>
          </w:p>
          <w:p w:rsidR="00173FB6" w:rsidRDefault="00173FB6">
            <w:pPr>
              <w:jc w:val="both"/>
              <w:rPr>
                <w:u w:val="single"/>
              </w:rPr>
            </w:pPr>
          </w:p>
          <w:p w:rsidR="008A2432" w:rsidRDefault="00BA6C0B">
            <w:pPr>
              <w:jc w:val="both"/>
            </w:pPr>
            <w:r>
              <w:rPr>
                <w:u w:val="single"/>
              </w:rPr>
              <w:t>(e)  A person leasing property under a contract described by this section may request that the chief appraiser of the appraisal district in which the property is located send the notice described by Subsection (d) to the person.  Except as provided by Subsection (f), the chief appraiser shall send the notice to the person leasing the property not later than the fifth day after the date the notice is sent to the property owner if the person demonstrates that the person is contractually obligated to reimburse the property owner for the taxes imposed on the property.</w:t>
            </w:r>
          </w:p>
          <w:p w:rsidR="008A2432" w:rsidRDefault="00BA6C0B">
            <w:pPr>
              <w:jc w:val="both"/>
            </w:pPr>
            <w:r>
              <w:rPr>
                <w:u w:val="single"/>
              </w:rPr>
              <w:t xml:space="preserve">(f)  A chief appraiser </w:t>
            </w:r>
            <w:r w:rsidRPr="00173FB6">
              <w:rPr>
                <w:highlight w:val="lightGray"/>
                <w:u w:val="single"/>
              </w:rPr>
              <w:t>that</w:t>
            </w:r>
            <w:r>
              <w:rPr>
                <w:u w:val="single"/>
              </w:rPr>
              <w:t xml:space="preserve"> receives a request under Subsection (e) is not required to send the notice requested under that subsection if the appraisal district in which the property that is the subject of the notice is located posts the appraised value of the property on the district's Internet website not later than the </w:t>
            </w:r>
            <w:r>
              <w:rPr>
                <w:u w:val="single"/>
              </w:rPr>
              <w:lastRenderedPageBreak/>
              <w:t>fifth day after the date the notice is sent to the property owner.</w:t>
            </w:r>
          </w:p>
          <w:p w:rsidR="008A2432" w:rsidRDefault="008A2432">
            <w:pPr>
              <w:jc w:val="both"/>
            </w:pPr>
          </w:p>
        </w:tc>
        <w:tc>
          <w:tcPr>
            <w:tcW w:w="6248" w:type="dxa"/>
          </w:tcPr>
          <w:p w:rsidR="00173FB6" w:rsidRDefault="00173FB6" w:rsidP="00173FB6">
            <w:pPr>
              <w:jc w:val="both"/>
            </w:pPr>
            <w:r>
              <w:lastRenderedPageBreak/>
              <w:t>SECTION 1.  Section 41.413, Tax Code, is amended by amending Subsection (d) and adding Subsections (e), (f), and (g) to read as follows:  [FA1(1)]</w:t>
            </w:r>
          </w:p>
          <w:p w:rsidR="00173FB6" w:rsidRDefault="00173FB6" w:rsidP="00173FB6">
            <w:pPr>
              <w:jc w:val="both"/>
            </w:pPr>
            <w:r>
              <w:t xml:space="preserve">(d)  </w:t>
            </w:r>
            <w:r>
              <w:rPr>
                <w:u w:val="single"/>
              </w:rPr>
              <w:t>A</w:t>
            </w:r>
            <w:r>
              <w:t xml:space="preserve"> [</w:t>
            </w:r>
            <w:r>
              <w:rPr>
                <w:strike/>
              </w:rPr>
              <w:t>The</w:t>
            </w:r>
            <w:r>
              <w:t>] property owner shall [</w:t>
            </w:r>
            <w:r>
              <w:rPr>
                <w:strike/>
              </w:rPr>
              <w:t>timely</w:t>
            </w:r>
            <w:r>
              <w:t xml:space="preserve">] send to </w:t>
            </w:r>
            <w:r>
              <w:rPr>
                <w:u w:val="single"/>
              </w:rPr>
              <w:t>a</w:t>
            </w:r>
            <w:r>
              <w:t xml:space="preserve"> [</w:t>
            </w:r>
            <w:r>
              <w:rPr>
                <w:strike/>
              </w:rPr>
              <w:t>the</w:t>
            </w:r>
            <w:r>
              <w:t>] person leasing [</w:t>
            </w:r>
            <w:r>
              <w:rPr>
                <w:strike/>
              </w:rPr>
              <w:t>the</w:t>
            </w:r>
            <w:r>
              <w:t xml:space="preserve">] property </w:t>
            </w:r>
            <w:r>
              <w:rPr>
                <w:u w:val="single"/>
              </w:rPr>
              <w:t>under a contract described by this section</w:t>
            </w:r>
            <w:r>
              <w:t xml:space="preserve"> a copy of any notice of </w:t>
            </w:r>
            <w:r>
              <w:rPr>
                <w:u w:val="single"/>
              </w:rPr>
              <w:t>appraised value of the property</w:t>
            </w:r>
            <w:r>
              <w:t xml:space="preserve"> [</w:t>
            </w:r>
            <w:r>
              <w:rPr>
                <w:strike/>
              </w:rPr>
              <w:t>the property's reappraisal</w:t>
            </w:r>
            <w:r>
              <w:t xml:space="preserve">] received by the property owner. </w:t>
            </w:r>
            <w:r>
              <w:rPr>
                <w:u w:val="single"/>
              </w:rPr>
              <w:t>The property owner must send the notice not later than the 10th day after the date the property owner receives the notice.</w:t>
            </w:r>
            <w:r>
              <w:t xml:space="preserve">  Failure of the </w:t>
            </w:r>
            <w:r>
              <w:rPr>
                <w:u w:val="single"/>
              </w:rPr>
              <w:t>property</w:t>
            </w:r>
            <w:r>
              <w:t xml:space="preserve"> owner to send a copy of the notice to the person leasing the property does not affect the time within which the person leasing the property may protest the appraised value.  </w:t>
            </w:r>
            <w:r w:rsidRPr="00173FB6">
              <w:rPr>
                <w:highlight w:val="lightGray"/>
                <w:u w:val="single"/>
              </w:rPr>
              <w:t>This subsection does not apply if</w:t>
            </w:r>
            <w:r>
              <w:rPr>
                <w:u w:val="single"/>
              </w:rPr>
              <w:t xml:space="preserve"> the property owner and </w:t>
            </w:r>
            <w:r w:rsidRPr="00173FB6">
              <w:rPr>
                <w:highlight w:val="lightGray"/>
                <w:u w:val="single"/>
              </w:rPr>
              <w:t>the</w:t>
            </w:r>
            <w:r>
              <w:rPr>
                <w:u w:val="single"/>
              </w:rPr>
              <w:t xml:space="preserve"> person leasing the property </w:t>
            </w:r>
            <w:r w:rsidRPr="00173FB6">
              <w:rPr>
                <w:highlight w:val="lightGray"/>
                <w:u w:val="single"/>
              </w:rPr>
              <w:t>have agreed in the contract to</w:t>
            </w:r>
            <w:r>
              <w:rPr>
                <w:u w:val="single"/>
              </w:rPr>
              <w:t xml:space="preserve"> waive the requirements of this subsection </w:t>
            </w:r>
            <w:r w:rsidRPr="00173FB6">
              <w:rPr>
                <w:highlight w:val="lightGray"/>
                <w:u w:val="single"/>
              </w:rPr>
              <w:t>or that the person leasing the property will not protest the appraised value of the property</w:t>
            </w:r>
            <w:r>
              <w:rPr>
                <w:u w:val="single"/>
              </w:rPr>
              <w:t>.</w:t>
            </w:r>
          </w:p>
          <w:p w:rsidR="00173FB6" w:rsidRDefault="00173FB6" w:rsidP="00173FB6">
            <w:pPr>
              <w:jc w:val="both"/>
            </w:pPr>
            <w:r>
              <w:rPr>
                <w:u w:val="single"/>
              </w:rPr>
              <w:t>(e)  A person leasing property under a contract described by this section may request that the chief appraiser of the appraisal district in which the property is located send the notice described by Subsection (d) to the person.  Except as provided by Subsection (f), the chief appraiser shall send the notice to the person leasing the property not later than the fifth day after the date the notice is sent to the property owner if the person demonstrates that the person is contractually obligated to reimburse the property owner for the taxes imposed on the property.</w:t>
            </w:r>
          </w:p>
          <w:p w:rsidR="00173FB6" w:rsidRDefault="00173FB6" w:rsidP="00173FB6">
            <w:pPr>
              <w:jc w:val="both"/>
            </w:pPr>
            <w:r>
              <w:rPr>
                <w:u w:val="single"/>
              </w:rPr>
              <w:t xml:space="preserve">(f)  A chief appraiser </w:t>
            </w:r>
            <w:r w:rsidRPr="00173FB6">
              <w:rPr>
                <w:highlight w:val="lightGray"/>
                <w:u w:val="single"/>
              </w:rPr>
              <w:t>who</w:t>
            </w:r>
            <w:r>
              <w:rPr>
                <w:u w:val="single"/>
              </w:rPr>
              <w:t xml:space="preserve"> receives a request under Subsection (e) is not required to send the notice requested under that subsection if the appraisal district in which the property that is the subject of the notice is located posts the appraised value of the property on the district's Internet website not later than the </w:t>
            </w:r>
            <w:r>
              <w:rPr>
                <w:u w:val="single"/>
              </w:rPr>
              <w:lastRenderedPageBreak/>
              <w:t>fifth day after the date the notice is sent to the property owner.</w:t>
            </w:r>
          </w:p>
          <w:p w:rsidR="00173FB6" w:rsidRDefault="00173FB6" w:rsidP="00173FB6">
            <w:pPr>
              <w:jc w:val="both"/>
            </w:pPr>
            <w:r w:rsidRPr="00173FB6">
              <w:rPr>
                <w:highlight w:val="lightGray"/>
                <w:u w:val="single"/>
              </w:rPr>
              <w:t>(g)  A person leasing property under a contract described by this section may designate another person to act as the agent of the lessee for any purpose under this title. The lessee must make the designation in the manner provided by Section 1.111. An agent designated under this subsection has the same authority and is subject to the same limitations as an agent designated by a property owner under Section 1.111.</w:t>
            </w:r>
            <w:r w:rsidRPr="00173FB6">
              <w:rPr>
                <w:highlight w:val="lightGray"/>
              </w:rPr>
              <w:t xml:space="preserve">  </w:t>
            </w:r>
            <w:r w:rsidRPr="00E013A8">
              <w:t>[FA1(2)]</w:t>
            </w:r>
          </w:p>
          <w:p w:rsidR="008A2432" w:rsidRDefault="008A2432">
            <w:pPr>
              <w:jc w:val="both"/>
            </w:pPr>
          </w:p>
        </w:tc>
        <w:tc>
          <w:tcPr>
            <w:tcW w:w="6244" w:type="dxa"/>
          </w:tcPr>
          <w:p w:rsidR="008A2432" w:rsidRDefault="008A2432">
            <w:pPr>
              <w:jc w:val="both"/>
            </w:pPr>
          </w:p>
        </w:tc>
      </w:tr>
      <w:tr w:rsidR="008A2432" w:rsidTr="00E013A8">
        <w:tc>
          <w:tcPr>
            <w:tcW w:w="6248" w:type="dxa"/>
          </w:tcPr>
          <w:p w:rsidR="008A2432" w:rsidRDefault="00BA6C0B">
            <w:pPr>
              <w:jc w:val="both"/>
            </w:pPr>
            <w:r>
              <w:lastRenderedPageBreak/>
              <w:t>SECTION 2.  The changes in law made by this Act apply only to a notice of appraised value sent to a property owner on or after the effective date of this Act.</w:t>
            </w:r>
          </w:p>
          <w:p w:rsidR="008A2432" w:rsidRDefault="008A2432">
            <w:pPr>
              <w:jc w:val="both"/>
            </w:pPr>
          </w:p>
        </w:tc>
        <w:tc>
          <w:tcPr>
            <w:tcW w:w="6248" w:type="dxa"/>
          </w:tcPr>
          <w:p w:rsidR="008A2432" w:rsidRDefault="00BA6C0B">
            <w:pPr>
              <w:jc w:val="both"/>
            </w:pPr>
            <w:r>
              <w:t>SECTION 2. Same as House version.</w:t>
            </w:r>
          </w:p>
          <w:p w:rsidR="008A2432" w:rsidRDefault="008A2432">
            <w:pPr>
              <w:jc w:val="both"/>
            </w:pPr>
          </w:p>
          <w:p w:rsidR="008A2432" w:rsidRDefault="008A2432">
            <w:pPr>
              <w:jc w:val="both"/>
            </w:pPr>
          </w:p>
        </w:tc>
        <w:tc>
          <w:tcPr>
            <w:tcW w:w="6244" w:type="dxa"/>
          </w:tcPr>
          <w:p w:rsidR="008A2432" w:rsidRDefault="008A2432">
            <w:pPr>
              <w:jc w:val="both"/>
            </w:pPr>
          </w:p>
        </w:tc>
      </w:tr>
      <w:tr w:rsidR="008A2432" w:rsidTr="00E013A8">
        <w:tc>
          <w:tcPr>
            <w:tcW w:w="6248" w:type="dxa"/>
          </w:tcPr>
          <w:p w:rsidR="008A2432" w:rsidRDefault="00BA6C0B">
            <w:pPr>
              <w:jc w:val="both"/>
            </w:pPr>
            <w:r>
              <w:t>SECTION 3.  This Act takes effect September 1, 2017.</w:t>
            </w:r>
          </w:p>
          <w:p w:rsidR="008A2432" w:rsidRDefault="008A2432">
            <w:pPr>
              <w:jc w:val="both"/>
            </w:pPr>
          </w:p>
        </w:tc>
        <w:tc>
          <w:tcPr>
            <w:tcW w:w="6248" w:type="dxa"/>
          </w:tcPr>
          <w:p w:rsidR="008A2432" w:rsidRDefault="00BA6C0B">
            <w:pPr>
              <w:jc w:val="both"/>
            </w:pPr>
            <w:r>
              <w:t>SECTION 3. Same as House version.</w:t>
            </w:r>
          </w:p>
          <w:p w:rsidR="008A2432" w:rsidRDefault="008A2432">
            <w:pPr>
              <w:jc w:val="both"/>
            </w:pPr>
          </w:p>
          <w:p w:rsidR="008A2432" w:rsidRDefault="008A2432">
            <w:pPr>
              <w:jc w:val="both"/>
            </w:pPr>
          </w:p>
        </w:tc>
        <w:tc>
          <w:tcPr>
            <w:tcW w:w="6244" w:type="dxa"/>
          </w:tcPr>
          <w:p w:rsidR="008A2432" w:rsidRDefault="008A2432">
            <w:pPr>
              <w:jc w:val="both"/>
            </w:pPr>
          </w:p>
        </w:tc>
      </w:tr>
    </w:tbl>
    <w:p w:rsidR="009C0B41" w:rsidRDefault="009C0B41"/>
    <w:sectPr w:rsidR="009C0B41" w:rsidSect="008A243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32" w:rsidRDefault="008A2432" w:rsidP="008A2432">
      <w:r>
        <w:separator/>
      </w:r>
    </w:p>
  </w:endnote>
  <w:endnote w:type="continuationSeparator" w:id="0">
    <w:p w:rsidR="008A2432" w:rsidRDefault="008A2432" w:rsidP="008A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62" w:rsidRDefault="00494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32" w:rsidRDefault="00CF353C">
    <w:pPr>
      <w:tabs>
        <w:tab w:val="center" w:pos="9360"/>
        <w:tab w:val="right" w:pos="18720"/>
      </w:tabs>
    </w:pPr>
    <w:r>
      <w:fldChar w:fldCharType="begin"/>
    </w:r>
    <w:r>
      <w:instrText xml:space="preserve"> DOCPROPERTY  CCRF  \* MERGEFORMAT </w:instrText>
    </w:r>
    <w:r>
      <w:fldChar w:fldCharType="separate"/>
    </w:r>
    <w:r w:rsidR="00377486">
      <w:t xml:space="preserve"> </w:t>
    </w:r>
    <w:r>
      <w:fldChar w:fldCharType="end"/>
    </w:r>
    <w:r w:rsidR="00BA6C0B">
      <w:tab/>
    </w:r>
    <w:r w:rsidR="008A2432">
      <w:fldChar w:fldCharType="begin"/>
    </w:r>
    <w:r w:rsidR="00BA6C0B">
      <w:instrText xml:space="preserve"> PAGE </w:instrText>
    </w:r>
    <w:r w:rsidR="008A2432">
      <w:fldChar w:fldCharType="separate"/>
    </w:r>
    <w:r>
      <w:rPr>
        <w:noProof/>
      </w:rPr>
      <w:t>1</w:t>
    </w:r>
    <w:r w:rsidR="008A2432">
      <w:fldChar w:fldCharType="end"/>
    </w:r>
    <w:r w:rsidR="00BA6C0B">
      <w:tab/>
    </w:r>
    <w:r w:rsidR="00C35180">
      <w:fldChar w:fldCharType="begin"/>
    </w:r>
    <w:r w:rsidR="00C35180">
      <w:instrText xml:space="preserve"> DOCPROPERTY  OTID  \* MERGEFORMAT </w:instrText>
    </w:r>
    <w:r w:rsidR="00C3518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62" w:rsidRDefault="00494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32" w:rsidRDefault="008A2432" w:rsidP="008A2432">
      <w:r>
        <w:separator/>
      </w:r>
    </w:p>
  </w:footnote>
  <w:footnote w:type="continuationSeparator" w:id="0">
    <w:p w:rsidR="008A2432" w:rsidRDefault="008A2432" w:rsidP="008A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62" w:rsidRDefault="00494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62" w:rsidRDefault="00494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62" w:rsidRDefault="00494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32"/>
    <w:rsid w:val="00173FB6"/>
    <w:rsid w:val="00377486"/>
    <w:rsid w:val="00494B62"/>
    <w:rsid w:val="005B1F06"/>
    <w:rsid w:val="008A2432"/>
    <w:rsid w:val="009C0B41"/>
    <w:rsid w:val="00BA6C0B"/>
    <w:rsid w:val="00C35180"/>
    <w:rsid w:val="00C948DD"/>
    <w:rsid w:val="00CF353C"/>
    <w:rsid w:val="00E013A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3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62"/>
    <w:pPr>
      <w:tabs>
        <w:tab w:val="center" w:pos="4680"/>
        <w:tab w:val="right" w:pos="9360"/>
      </w:tabs>
    </w:pPr>
  </w:style>
  <w:style w:type="character" w:customStyle="1" w:styleId="HeaderChar">
    <w:name w:val="Header Char"/>
    <w:basedOn w:val="DefaultParagraphFont"/>
    <w:link w:val="Header"/>
    <w:uiPriority w:val="99"/>
    <w:rsid w:val="00494B62"/>
    <w:rPr>
      <w:sz w:val="22"/>
    </w:rPr>
  </w:style>
  <w:style w:type="paragraph" w:styleId="Footer">
    <w:name w:val="footer"/>
    <w:basedOn w:val="Normal"/>
    <w:link w:val="FooterChar"/>
    <w:uiPriority w:val="99"/>
    <w:unhideWhenUsed/>
    <w:rsid w:val="00494B62"/>
    <w:pPr>
      <w:tabs>
        <w:tab w:val="center" w:pos="4680"/>
        <w:tab w:val="right" w:pos="9360"/>
      </w:tabs>
    </w:pPr>
  </w:style>
  <w:style w:type="character" w:customStyle="1" w:styleId="FooterChar">
    <w:name w:val="Footer Char"/>
    <w:basedOn w:val="DefaultParagraphFont"/>
    <w:link w:val="Footer"/>
    <w:uiPriority w:val="99"/>
    <w:rsid w:val="00494B6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3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62"/>
    <w:pPr>
      <w:tabs>
        <w:tab w:val="center" w:pos="4680"/>
        <w:tab w:val="right" w:pos="9360"/>
      </w:tabs>
    </w:pPr>
  </w:style>
  <w:style w:type="character" w:customStyle="1" w:styleId="HeaderChar">
    <w:name w:val="Header Char"/>
    <w:basedOn w:val="DefaultParagraphFont"/>
    <w:link w:val="Header"/>
    <w:uiPriority w:val="99"/>
    <w:rsid w:val="00494B62"/>
    <w:rPr>
      <w:sz w:val="22"/>
    </w:rPr>
  </w:style>
  <w:style w:type="paragraph" w:styleId="Footer">
    <w:name w:val="footer"/>
    <w:basedOn w:val="Normal"/>
    <w:link w:val="FooterChar"/>
    <w:uiPriority w:val="99"/>
    <w:unhideWhenUsed/>
    <w:rsid w:val="00494B62"/>
    <w:pPr>
      <w:tabs>
        <w:tab w:val="center" w:pos="4680"/>
        <w:tab w:val="right" w:pos="9360"/>
      </w:tabs>
    </w:pPr>
  </w:style>
  <w:style w:type="character" w:customStyle="1" w:styleId="FooterChar">
    <w:name w:val="Footer Char"/>
    <w:basedOn w:val="DefaultParagraphFont"/>
    <w:link w:val="Footer"/>
    <w:uiPriority w:val="99"/>
    <w:rsid w:val="00494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704</Words>
  <Characters>3842</Characters>
  <Application>Microsoft Office Word</Application>
  <DocSecurity>0</DocSecurity>
  <Lines>113</Lines>
  <Paragraphs>43</Paragraphs>
  <ScaleCrop>false</ScaleCrop>
  <HeadingPairs>
    <vt:vector size="2" baseType="variant">
      <vt:variant>
        <vt:lpstr>Title</vt:lpstr>
      </vt:variant>
      <vt:variant>
        <vt:i4>1</vt:i4>
      </vt:variant>
    </vt:vector>
  </HeadingPairs>
  <TitlesOfParts>
    <vt:vector size="1" baseType="lpstr">
      <vt:lpstr>HB804-SAA</vt:lpstr>
    </vt:vector>
  </TitlesOfParts>
  <Company>Texas Legislative Council</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HB804-SAA</dc:title>
  <dc:creator>CWY</dc:creator>
  <cp:lastModifiedBy>CWY</cp:lastModifiedBy>
  <cp:revision>2</cp:revision>
  <dcterms:created xsi:type="dcterms:W3CDTF">2017-05-18T20:52:00Z</dcterms:created>
  <dcterms:modified xsi:type="dcterms:W3CDTF">2017-05-18T20:52:00Z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