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354A7" w:rsidTr="00D354A7">
        <w:trPr>
          <w:cantSplit/>
          <w:tblHeader/>
        </w:trPr>
        <w:tc>
          <w:tcPr>
            <w:tcW w:w="18713" w:type="dxa"/>
            <w:gridSpan w:val="3"/>
          </w:tcPr>
          <w:p w:rsidR="007D4C2B" w:rsidRDefault="00724E94">
            <w:pPr>
              <w:ind w:left="650"/>
              <w:jc w:val="center"/>
            </w:pPr>
            <w:bookmarkStart w:id="0" w:name="_GoBack"/>
            <w:bookmarkEnd w:id="0"/>
            <w:r>
              <w:rPr>
                <w:b/>
              </w:rPr>
              <w:t>House Bill  929</w:t>
            </w:r>
          </w:p>
          <w:p w:rsidR="007D4C2B" w:rsidRDefault="00724E94">
            <w:pPr>
              <w:ind w:left="650"/>
              <w:jc w:val="center"/>
            </w:pPr>
            <w:r>
              <w:t>Senate Amendments</w:t>
            </w:r>
          </w:p>
          <w:p w:rsidR="007D4C2B" w:rsidRDefault="00724E94">
            <w:pPr>
              <w:ind w:left="650"/>
              <w:jc w:val="center"/>
            </w:pPr>
            <w:r>
              <w:t>Section-by-Section Analysis</w:t>
            </w:r>
          </w:p>
          <w:p w:rsidR="007D4C2B" w:rsidRDefault="007D4C2B">
            <w:pPr>
              <w:jc w:val="center"/>
            </w:pPr>
          </w:p>
        </w:tc>
      </w:tr>
      <w:tr w:rsidR="007D4C2B">
        <w:trPr>
          <w:cantSplit/>
          <w:tblHeader/>
        </w:trPr>
        <w:tc>
          <w:tcPr>
            <w:tcW w:w="1667" w:type="pct"/>
            <w:tcMar>
              <w:bottom w:w="188" w:type="dxa"/>
              <w:right w:w="0" w:type="dxa"/>
            </w:tcMar>
          </w:tcPr>
          <w:p w:rsidR="007D4C2B" w:rsidRDefault="00724E94">
            <w:pPr>
              <w:jc w:val="center"/>
            </w:pPr>
            <w:r>
              <w:t>HOUSE VERSION</w:t>
            </w:r>
          </w:p>
        </w:tc>
        <w:tc>
          <w:tcPr>
            <w:tcW w:w="1667" w:type="pct"/>
            <w:tcMar>
              <w:bottom w:w="188" w:type="dxa"/>
              <w:right w:w="0" w:type="dxa"/>
            </w:tcMar>
          </w:tcPr>
          <w:p w:rsidR="007D4C2B" w:rsidRDefault="00724E94">
            <w:pPr>
              <w:jc w:val="center"/>
            </w:pPr>
            <w:r>
              <w:t>SENATE VERSION (CS)</w:t>
            </w:r>
          </w:p>
        </w:tc>
        <w:tc>
          <w:tcPr>
            <w:tcW w:w="1667" w:type="pct"/>
            <w:tcMar>
              <w:bottom w:w="188" w:type="dxa"/>
              <w:right w:w="0" w:type="dxa"/>
            </w:tcMar>
          </w:tcPr>
          <w:p w:rsidR="007D4C2B" w:rsidRDefault="00724E94">
            <w:pPr>
              <w:jc w:val="center"/>
            </w:pPr>
            <w:r>
              <w:t>CONFERENCE</w:t>
            </w:r>
          </w:p>
        </w:tc>
      </w:tr>
      <w:tr w:rsidR="007D4C2B">
        <w:tc>
          <w:tcPr>
            <w:tcW w:w="6473" w:type="dxa"/>
          </w:tcPr>
          <w:p w:rsidR="007D4C2B" w:rsidRDefault="00724E94">
            <w:pPr>
              <w:jc w:val="both"/>
            </w:pPr>
            <w:r>
              <w:t>SECTION 1.  Section 67.003(b), Election Code, is amended to read as follows:</w:t>
            </w:r>
          </w:p>
          <w:p w:rsidR="007D4C2B" w:rsidRDefault="00724E94">
            <w:pPr>
              <w:jc w:val="both"/>
            </w:pPr>
            <w:r>
              <w:t xml:space="preserve">(b)  </w:t>
            </w:r>
            <w:r>
              <w:rPr>
                <w:u w:val="single"/>
              </w:rPr>
              <w:t>Except as provided by Subsection (c), each local canvassing authority shall convene to conduct the local canvass at the time set by the canvassing authority's presiding officer</w:t>
            </w:r>
            <w:r>
              <w:t xml:space="preserve"> [</w:t>
            </w:r>
            <w:r>
              <w:rPr>
                <w:strike/>
              </w:rPr>
              <w:t>For an election held on the uniform election date in May, the local  canvass must occur</w:t>
            </w:r>
            <w:r>
              <w:t>] not later than the 11th day after election day and not earlier than the later of:</w:t>
            </w:r>
          </w:p>
          <w:p w:rsidR="007D4C2B" w:rsidRDefault="00724E94">
            <w:pPr>
              <w:jc w:val="both"/>
            </w:pPr>
            <w:r>
              <w:t>(1)  the third day after election day;</w:t>
            </w:r>
          </w:p>
          <w:p w:rsidR="007D4C2B" w:rsidRDefault="00724E94">
            <w:pPr>
              <w:jc w:val="both"/>
            </w:pPr>
            <w:r>
              <w:t>(2)  the date on which the early voting ballot board has verified and counted all provisional ballots, if a provisional ballot has been cast in the election; or</w:t>
            </w:r>
          </w:p>
          <w:p w:rsidR="007D4C2B" w:rsidRDefault="00724E94">
            <w:pPr>
              <w:jc w:val="both"/>
            </w:pPr>
            <w:r>
              <w:t>(3)  the date on which all timely received ballots cast from addresses outside of the United States are counted, if a ballot to be voted by mail in the election was provided to a person outside of the United States.</w:t>
            </w:r>
          </w:p>
          <w:p w:rsidR="007D4C2B" w:rsidRDefault="007D4C2B">
            <w:pPr>
              <w:jc w:val="both"/>
            </w:pPr>
          </w:p>
        </w:tc>
        <w:tc>
          <w:tcPr>
            <w:tcW w:w="6480" w:type="dxa"/>
          </w:tcPr>
          <w:p w:rsidR="007D4C2B" w:rsidRDefault="00724E94">
            <w:pPr>
              <w:jc w:val="both"/>
            </w:pPr>
            <w:r>
              <w:t>SECTION 1. Same as House version.</w:t>
            </w:r>
          </w:p>
          <w:p w:rsidR="007D4C2B" w:rsidRDefault="007D4C2B">
            <w:pPr>
              <w:jc w:val="both"/>
            </w:pPr>
          </w:p>
          <w:p w:rsidR="007D4C2B" w:rsidRDefault="007D4C2B">
            <w:pPr>
              <w:jc w:val="both"/>
            </w:pPr>
          </w:p>
        </w:tc>
        <w:tc>
          <w:tcPr>
            <w:tcW w:w="5760" w:type="dxa"/>
          </w:tcPr>
          <w:p w:rsidR="007D4C2B" w:rsidRDefault="007D4C2B">
            <w:pPr>
              <w:jc w:val="both"/>
            </w:pPr>
          </w:p>
        </w:tc>
      </w:tr>
      <w:tr w:rsidR="007D4C2B">
        <w:tc>
          <w:tcPr>
            <w:tcW w:w="6473" w:type="dxa"/>
          </w:tcPr>
          <w:p w:rsidR="007D4C2B" w:rsidRDefault="00724E94">
            <w:pPr>
              <w:jc w:val="both"/>
            </w:pPr>
            <w:r>
              <w:t>SECTION 2.  Section 84.011, Election Code, is amended by adding Subsection (c) to read as follows:</w:t>
            </w:r>
          </w:p>
          <w:p w:rsidR="007D4C2B" w:rsidRDefault="00724E94">
            <w:pPr>
              <w:jc w:val="both"/>
            </w:pPr>
            <w:r>
              <w:rPr>
                <w:u w:val="single"/>
              </w:rPr>
              <w:t>(c)  In addition to the requirements imposed by Subsection (a), the officially prescribed application form for an early voting ballot must include a space for the voter to provide a change of residence address within the county, if applicable.</w:t>
            </w:r>
          </w:p>
          <w:p w:rsidR="007D4C2B" w:rsidRDefault="007D4C2B">
            <w:pPr>
              <w:jc w:val="both"/>
            </w:pPr>
          </w:p>
        </w:tc>
        <w:tc>
          <w:tcPr>
            <w:tcW w:w="6480" w:type="dxa"/>
          </w:tcPr>
          <w:p w:rsidR="007D4C2B" w:rsidRDefault="00724E94">
            <w:pPr>
              <w:jc w:val="both"/>
            </w:pPr>
            <w:r w:rsidRPr="00D354A7">
              <w:rPr>
                <w:highlight w:val="lightGray"/>
              </w:rPr>
              <w:t>No equivalent provision.</w:t>
            </w:r>
          </w:p>
          <w:p w:rsidR="007D4C2B" w:rsidRDefault="007D4C2B">
            <w:pPr>
              <w:jc w:val="both"/>
            </w:pPr>
          </w:p>
        </w:tc>
        <w:tc>
          <w:tcPr>
            <w:tcW w:w="5760" w:type="dxa"/>
          </w:tcPr>
          <w:p w:rsidR="007D4C2B" w:rsidRDefault="007D4C2B">
            <w:pPr>
              <w:jc w:val="both"/>
            </w:pPr>
          </w:p>
        </w:tc>
      </w:tr>
      <w:tr w:rsidR="007D4C2B">
        <w:tc>
          <w:tcPr>
            <w:tcW w:w="6473" w:type="dxa"/>
          </w:tcPr>
          <w:p w:rsidR="007D4C2B" w:rsidRDefault="00724E94">
            <w:pPr>
              <w:jc w:val="both"/>
            </w:pPr>
            <w:r>
              <w:t>SECTION 3.  Section 86.001, Election Code, is amended by adding Subsection (f) to read as follows:</w:t>
            </w:r>
          </w:p>
          <w:p w:rsidR="007D4C2B" w:rsidRDefault="00724E94">
            <w:pPr>
              <w:jc w:val="both"/>
            </w:pPr>
            <w:r>
              <w:rPr>
                <w:u w:val="single"/>
              </w:rPr>
              <w:t>(f)  If the application includes a change of address within the county, the early voting clerk shall notify the voter registrar of the change and the registrar shall update the voter's registration accordingly.</w:t>
            </w:r>
          </w:p>
          <w:p w:rsidR="007D4C2B" w:rsidRDefault="007D4C2B">
            <w:pPr>
              <w:jc w:val="both"/>
            </w:pPr>
          </w:p>
        </w:tc>
        <w:tc>
          <w:tcPr>
            <w:tcW w:w="6480" w:type="dxa"/>
          </w:tcPr>
          <w:p w:rsidR="007D4C2B" w:rsidRDefault="00724E94">
            <w:pPr>
              <w:jc w:val="both"/>
            </w:pPr>
            <w:r w:rsidRPr="00D354A7">
              <w:rPr>
                <w:highlight w:val="lightGray"/>
              </w:rPr>
              <w:lastRenderedPageBreak/>
              <w:t>No equivalent provision.</w:t>
            </w:r>
          </w:p>
          <w:p w:rsidR="007D4C2B" w:rsidRDefault="007D4C2B">
            <w:pPr>
              <w:jc w:val="both"/>
            </w:pPr>
          </w:p>
        </w:tc>
        <w:tc>
          <w:tcPr>
            <w:tcW w:w="5760" w:type="dxa"/>
          </w:tcPr>
          <w:p w:rsidR="007D4C2B" w:rsidRDefault="007D4C2B">
            <w:pPr>
              <w:jc w:val="both"/>
            </w:pPr>
          </w:p>
        </w:tc>
      </w:tr>
      <w:tr w:rsidR="007D4C2B">
        <w:tc>
          <w:tcPr>
            <w:tcW w:w="6473" w:type="dxa"/>
          </w:tcPr>
          <w:p w:rsidR="007D4C2B" w:rsidRDefault="00724E94">
            <w:pPr>
              <w:jc w:val="both"/>
            </w:pPr>
            <w:r>
              <w:lastRenderedPageBreak/>
              <w:t>SECTION 4.  Section 86.002, Election Code, is amended by adding Subsection (a-1) to read as follows:</w:t>
            </w:r>
          </w:p>
          <w:p w:rsidR="007D4C2B" w:rsidRDefault="00724E94">
            <w:pPr>
              <w:jc w:val="both"/>
            </w:pPr>
            <w:r>
              <w:rPr>
                <w:u w:val="single"/>
              </w:rPr>
              <w:t>(a-1)  Notwithstanding Subsection (a), the clerk is not required to provide a form for a statement of residence to a voter who indicated a change of address within the county on the voter's application for an early voting ballot to be voted by mail.</w:t>
            </w:r>
          </w:p>
          <w:p w:rsidR="007D4C2B" w:rsidRDefault="007D4C2B">
            <w:pPr>
              <w:jc w:val="both"/>
            </w:pPr>
          </w:p>
        </w:tc>
        <w:tc>
          <w:tcPr>
            <w:tcW w:w="6480" w:type="dxa"/>
          </w:tcPr>
          <w:p w:rsidR="007D4C2B" w:rsidRDefault="00724E94">
            <w:pPr>
              <w:jc w:val="both"/>
            </w:pPr>
            <w:r w:rsidRPr="00D354A7">
              <w:rPr>
                <w:highlight w:val="lightGray"/>
              </w:rPr>
              <w:t>No equivalent provision.</w:t>
            </w:r>
          </w:p>
          <w:p w:rsidR="007D4C2B" w:rsidRDefault="007D4C2B">
            <w:pPr>
              <w:jc w:val="both"/>
            </w:pPr>
          </w:p>
        </w:tc>
        <w:tc>
          <w:tcPr>
            <w:tcW w:w="5760" w:type="dxa"/>
          </w:tcPr>
          <w:p w:rsidR="007D4C2B" w:rsidRDefault="007D4C2B">
            <w:pPr>
              <w:jc w:val="both"/>
            </w:pPr>
          </w:p>
        </w:tc>
      </w:tr>
      <w:tr w:rsidR="007D4C2B">
        <w:tc>
          <w:tcPr>
            <w:tcW w:w="6473" w:type="dxa"/>
          </w:tcPr>
          <w:p w:rsidR="007D4C2B" w:rsidRDefault="00724E94">
            <w:pPr>
              <w:jc w:val="both"/>
            </w:pPr>
            <w:r>
              <w:t>SECTION 5.  Section 101.057, Election Code, is amended to read as follows:</w:t>
            </w:r>
          </w:p>
          <w:p w:rsidR="007D4C2B" w:rsidRDefault="00724E94">
            <w:pPr>
              <w:jc w:val="both"/>
            </w:pPr>
            <w:r>
              <w:t xml:space="preserve">Sec. 101.057.  RETURN OF VOTED BALLOT.  </w:t>
            </w:r>
            <w:r>
              <w:rPr>
                <w:u w:val="single"/>
              </w:rPr>
              <w:t>(a)</w:t>
            </w:r>
            <w:r>
              <w:t xml:space="preserve">  A ballot voted under this subchapter may be returned to the early voting clerk by mail, common or contract carrier, or courier.</w:t>
            </w:r>
          </w:p>
          <w:p w:rsidR="007D4C2B" w:rsidRDefault="00724E94">
            <w:pPr>
              <w:jc w:val="both"/>
            </w:pPr>
            <w:r>
              <w:rPr>
                <w:u w:val="single"/>
              </w:rPr>
              <w:t>(b)  A ballot voted by a voter described by Section 101.001(2)(A) or (B) shall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7D4C2B" w:rsidRDefault="007D4C2B">
            <w:pPr>
              <w:jc w:val="both"/>
            </w:pPr>
          </w:p>
        </w:tc>
        <w:tc>
          <w:tcPr>
            <w:tcW w:w="6480" w:type="dxa"/>
          </w:tcPr>
          <w:p w:rsidR="007D4C2B" w:rsidRDefault="00724E94">
            <w:pPr>
              <w:jc w:val="both"/>
            </w:pPr>
            <w:r>
              <w:t>SECTION 2. Same as House version.</w:t>
            </w:r>
          </w:p>
          <w:p w:rsidR="007D4C2B" w:rsidRDefault="007D4C2B">
            <w:pPr>
              <w:jc w:val="both"/>
            </w:pPr>
          </w:p>
          <w:p w:rsidR="007D4C2B" w:rsidRDefault="007D4C2B">
            <w:pPr>
              <w:jc w:val="both"/>
            </w:pPr>
          </w:p>
        </w:tc>
        <w:tc>
          <w:tcPr>
            <w:tcW w:w="5760" w:type="dxa"/>
          </w:tcPr>
          <w:p w:rsidR="007D4C2B" w:rsidRDefault="007D4C2B">
            <w:pPr>
              <w:jc w:val="both"/>
            </w:pPr>
          </w:p>
        </w:tc>
      </w:tr>
      <w:tr w:rsidR="007D4C2B">
        <w:tc>
          <w:tcPr>
            <w:tcW w:w="6473" w:type="dxa"/>
          </w:tcPr>
          <w:p w:rsidR="007D4C2B" w:rsidRDefault="00724E94">
            <w:pPr>
              <w:jc w:val="both"/>
            </w:pPr>
            <w:r>
              <w:t>SECTION 6.  Section 67.003(a), Election Code, is repealed.</w:t>
            </w:r>
          </w:p>
          <w:p w:rsidR="007D4C2B" w:rsidRDefault="007D4C2B">
            <w:pPr>
              <w:jc w:val="both"/>
            </w:pPr>
          </w:p>
        </w:tc>
        <w:tc>
          <w:tcPr>
            <w:tcW w:w="6480" w:type="dxa"/>
          </w:tcPr>
          <w:p w:rsidR="007D4C2B" w:rsidRDefault="00724E94">
            <w:pPr>
              <w:jc w:val="both"/>
            </w:pPr>
            <w:r>
              <w:t>SECTION 3. Same as House version.</w:t>
            </w:r>
          </w:p>
          <w:p w:rsidR="007D4C2B" w:rsidRDefault="007D4C2B">
            <w:pPr>
              <w:jc w:val="both"/>
            </w:pPr>
          </w:p>
          <w:p w:rsidR="007D4C2B" w:rsidRDefault="007D4C2B">
            <w:pPr>
              <w:jc w:val="both"/>
            </w:pPr>
          </w:p>
        </w:tc>
        <w:tc>
          <w:tcPr>
            <w:tcW w:w="5760" w:type="dxa"/>
          </w:tcPr>
          <w:p w:rsidR="007D4C2B" w:rsidRDefault="007D4C2B">
            <w:pPr>
              <w:jc w:val="both"/>
            </w:pPr>
          </w:p>
        </w:tc>
      </w:tr>
      <w:tr w:rsidR="007D4C2B">
        <w:tc>
          <w:tcPr>
            <w:tcW w:w="6473" w:type="dxa"/>
          </w:tcPr>
          <w:p w:rsidR="007D4C2B" w:rsidRDefault="00724E94">
            <w:pPr>
              <w:jc w:val="both"/>
            </w:pPr>
            <w:r>
              <w:t>SECTION 7.  This Act takes effect September 1, 2017.</w:t>
            </w:r>
          </w:p>
          <w:p w:rsidR="007D4C2B" w:rsidRDefault="007D4C2B">
            <w:pPr>
              <w:jc w:val="both"/>
            </w:pPr>
          </w:p>
        </w:tc>
        <w:tc>
          <w:tcPr>
            <w:tcW w:w="6480" w:type="dxa"/>
          </w:tcPr>
          <w:p w:rsidR="007D4C2B" w:rsidRDefault="00724E94">
            <w:pPr>
              <w:jc w:val="both"/>
            </w:pPr>
            <w:r>
              <w:t>SECTION 4. Same as House version.</w:t>
            </w:r>
          </w:p>
          <w:p w:rsidR="007D4C2B" w:rsidRDefault="007D4C2B">
            <w:pPr>
              <w:jc w:val="both"/>
            </w:pPr>
          </w:p>
        </w:tc>
        <w:tc>
          <w:tcPr>
            <w:tcW w:w="5760" w:type="dxa"/>
          </w:tcPr>
          <w:p w:rsidR="007D4C2B" w:rsidRDefault="007D4C2B">
            <w:pPr>
              <w:jc w:val="both"/>
            </w:pPr>
          </w:p>
        </w:tc>
      </w:tr>
    </w:tbl>
    <w:p w:rsidR="00662DB1" w:rsidRDefault="00662DB1"/>
    <w:sectPr w:rsidR="00662DB1" w:rsidSect="007D4C2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2B" w:rsidRDefault="007D4C2B" w:rsidP="007D4C2B">
      <w:r>
        <w:separator/>
      </w:r>
    </w:p>
  </w:endnote>
  <w:endnote w:type="continuationSeparator" w:id="0">
    <w:p w:rsidR="007D4C2B" w:rsidRDefault="007D4C2B" w:rsidP="007D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7E" w:rsidRDefault="007F5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2B" w:rsidRDefault="00FA187A">
    <w:pPr>
      <w:tabs>
        <w:tab w:val="center" w:pos="9360"/>
        <w:tab w:val="right" w:pos="18720"/>
      </w:tabs>
    </w:pPr>
    <w:r>
      <w:fldChar w:fldCharType="begin"/>
    </w:r>
    <w:r>
      <w:instrText xml:space="preserve"> DOCPROPERTY  CCRF  \* MERGEFORMAT </w:instrText>
    </w:r>
    <w:r>
      <w:fldChar w:fldCharType="separate"/>
    </w:r>
    <w:r w:rsidR="00A154E8">
      <w:t xml:space="preserve"> </w:t>
    </w:r>
    <w:r>
      <w:fldChar w:fldCharType="end"/>
    </w:r>
    <w:r w:rsidR="00724E94">
      <w:tab/>
    </w:r>
    <w:r w:rsidR="007D4C2B">
      <w:fldChar w:fldCharType="begin"/>
    </w:r>
    <w:r w:rsidR="00724E94">
      <w:instrText xml:space="preserve"> PAGE </w:instrText>
    </w:r>
    <w:r w:rsidR="007D4C2B">
      <w:fldChar w:fldCharType="separate"/>
    </w:r>
    <w:r>
      <w:rPr>
        <w:noProof/>
      </w:rPr>
      <w:t>1</w:t>
    </w:r>
    <w:r w:rsidR="007D4C2B">
      <w:fldChar w:fldCharType="end"/>
    </w:r>
    <w:r w:rsidR="00724E94">
      <w:tab/>
    </w:r>
    <w:r w:rsidR="0054048A">
      <w:fldChar w:fldCharType="begin"/>
    </w:r>
    <w:r w:rsidR="0054048A">
      <w:instrText xml:space="preserve"> DOCPROPERTY  OTID  \* MERGEFORMAT </w:instrText>
    </w:r>
    <w:r w:rsidR="0054048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7E" w:rsidRDefault="007F5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2B" w:rsidRDefault="007D4C2B" w:rsidP="007D4C2B">
      <w:r>
        <w:separator/>
      </w:r>
    </w:p>
  </w:footnote>
  <w:footnote w:type="continuationSeparator" w:id="0">
    <w:p w:rsidR="007D4C2B" w:rsidRDefault="007D4C2B" w:rsidP="007D4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7E" w:rsidRDefault="007F5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7E" w:rsidRDefault="007F5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7E" w:rsidRDefault="007F5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2B"/>
    <w:rsid w:val="0054048A"/>
    <w:rsid w:val="00662DB1"/>
    <w:rsid w:val="00724E94"/>
    <w:rsid w:val="007D4C2B"/>
    <w:rsid w:val="007F547E"/>
    <w:rsid w:val="00A154E8"/>
    <w:rsid w:val="00BE65CA"/>
    <w:rsid w:val="00D354A7"/>
    <w:rsid w:val="00FA187A"/>
    <w:rsid w:val="00FD1E8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2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47E"/>
    <w:pPr>
      <w:tabs>
        <w:tab w:val="center" w:pos="4680"/>
        <w:tab w:val="right" w:pos="9360"/>
      </w:tabs>
    </w:pPr>
  </w:style>
  <w:style w:type="character" w:customStyle="1" w:styleId="HeaderChar">
    <w:name w:val="Header Char"/>
    <w:basedOn w:val="DefaultParagraphFont"/>
    <w:link w:val="Header"/>
    <w:uiPriority w:val="99"/>
    <w:rsid w:val="007F547E"/>
    <w:rPr>
      <w:sz w:val="22"/>
    </w:rPr>
  </w:style>
  <w:style w:type="paragraph" w:styleId="Footer">
    <w:name w:val="footer"/>
    <w:basedOn w:val="Normal"/>
    <w:link w:val="FooterChar"/>
    <w:uiPriority w:val="99"/>
    <w:unhideWhenUsed/>
    <w:rsid w:val="007F547E"/>
    <w:pPr>
      <w:tabs>
        <w:tab w:val="center" w:pos="4680"/>
        <w:tab w:val="right" w:pos="9360"/>
      </w:tabs>
    </w:pPr>
  </w:style>
  <w:style w:type="character" w:customStyle="1" w:styleId="FooterChar">
    <w:name w:val="Footer Char"/>
    <w:basedOn w:val="DefaultParagraphFont"/>
    <w:link w:val="Footer"/>
    <w:uiPriority w:val="99"/>
    <w:rsid w:val="007F547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2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47E"/>
    <w:pPr>
      <w:tabs>
        <w:tab w:val="center" w:pos="4680"/>
        <w:tab w:val="right" w:pos="9360"/>
      </w:tabs>
    </w:pPr>
  </w:style>
  <w:style w:type="character" w:customStyle="1" w:styleId="HeaderChar">
    <w:name w:val="Header Char"/>
    <w:basedOn w:val="DefaultParagraphFont"/>
    <w:link w:val="Header"/>
    <w:uiPriority w:val="99"/>
    <w:rsid w:val="007F547E"/>
    <w:rPr>
      <w:sz w:val="22"/>
    </w:rPr>
  </w:style>
  <w:style w:type="paragraph" w:styleId="Footer">
    <w:name w:val="footer"/>
    <w:basedOn w:val="Normal"/>
    <w:link w:val="FooterChar"/>
    <w:uiPriority w:val="99"/>
    <w:unhideWhenUsed/>
    <w:rsid w:val="007F547E"/>
    <w:pPr>
      <w:tabs>
        <w:tab w:val="center" w:pos="4680"/>
        <w:tab w:val="right" w:pos="9360"/>
      </w:tabs>
    </w:pPr>
  </w:style>
  <w:style w:type="character" w:customStyle="1" w:styleId="FooterChar">
    <w:name w:val="Footer Char"/>
    <w:basedOn w:val="DefaultParagraphFont"/>
    <w:link w:val="Footer"/>
    <w:uiPriority w:val="99"/>
    <w:rsid w:val="007F547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437</Words>
  <Characters>2493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HB929-SAA</vt:lpstr>
    </vt:vector>
  </TitlesOfParts>
  <Company>Texas Legislative Council</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HB929-SAA</dc:title>
  <dc:creator>CWY</dc:creator>
  <cp:lastModifiedBy>CWY</cp:lastModifiedBy>
  <cp:revision>2</cp:revision>
  <dcterms:created xsi:type="dcterms:W3CDTF">2017-05-25T17:33:00Z</dcterms:created>
  <dcterms:modified xsi:type="dcterms:W3CDTF">2017-05-25T17:33:00Z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