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23E27" w:rsidTr="00345119">
        <w:tc>
          <w:tcPr>
            <w:tcW w:w="9576" w:type="dxa"/>
            <w:noWrap/>
          </w:tcPr>
          <w:p w:rsidR="008423E4" w:rsidRPr="0022177D" w:rsidRDefault="008A049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A049E" w:rsidP="008423E4">
      <w:pPr>
        <w:jc w:val="center"/>
      </w:pPr>
    </w:p>
    <w:p w:rsidR="008423E4" w:rsidRPr="00B31F0E" w:rsidRDefault="008A049E" w:rsidP="008423E4"/>
    <w:p w:rsidR="008423E4" w:rsidRPr="00742794" w:rsidRDefault="008A049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23E27" w:rsidTr="00345119">
        <w:tc>
          <w:tcPr>
            <w:tcW w:w="9576" w:type="dxa"/>
          </w:tcPr>
          <w:p w:rsidR="008423E4" w:rsidRPr="00861995" w:rsidRDefault="008A049E" w:rsidP="00345119">
            <w:pPr>
              <w:jc w:val="right"/>
            </w:pPr>
            <w:r>
              <w:t>C.S.H.B. 5</w:t>
            </w:r>
          </w:p>
        </w:tc>
      </w:tr>
      <w:tr w:rsidR="00A23E27" w:rsidTr="00345119">
        <w:tc>
          <w:tcPr>
            <w:tcW w:w="9576" w:type="dxa"/>
          </w:tcPr>
          <w:p w:rsidR="008423E4" w:rsidRPr="00861995" w:rsidRDefault="008A049E" w:rsidP="00FE7FA9">
            <w:pPr>
              <w:jc w:val="right"/>
            </w:pPr>
            <w:r>
              <w:t xml:space="preserve">By: </w:t>
            </w:r>
            <w:r>
              <w:t>Phelan</w:t>
            </w:r>
          </w:p>
        </w:tc>
      </w:tr>
      <w:tr w:rsidR="00A23E27" w:rsidTr="00345119">
        <w:tc>
          <w:tcPr>
            <w:tcW w:w="9576" w:type="dxa"/>
          </w:tcPr>
          <w:p w:rsidR="008423E4" w:rsidRPr="00861995" w:rsidRDefault="008A049E" w:rsidP="00345119">
            <w:pPr>
              <w:jc w:val="right"/>
            </w:pPr>
            <w:r>
              <w:t>Homeland Security &amp; Public Safety</w:t>
            </w:r>
          </w:p>
        </w:tc>
      </w:tr>
      <w:tr w:rsidR="00A23E27" w:rsidTr="00345119">
        <w:tc>
          <w:tcPr>
            <w:tcW w:w="9576" w:type="dxa"/>
          </w:tcPr>
          <w:p w:rsidR="008423E4" w:rsidRDefault="008A049E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8A049E" w:rsidP="008423E4">
      <w:pPr>
        <w:tabs>
          <w:tab w:val="right" w:pos="9360"/>
        </w:tabs>
      </w:pPr>
    </w:p>
    <w:p w:rsidR="008423E4" w:rsidRDefault="008A049E" w:rsidP="008423E4"/>
    <w:p w:rsidR="008423E4" w:rsidRDefault="008A049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23E27" w:rsidTr="00345119">
        <w:tc>
          <w:tcPr>
            <w:tcW w:w="9576" w:type="dxa"/>
          </w:tcPr>
          <w:p w:rsidR="008423E4" w:rsidRPr="00A8133F" w:rsidRDefault="008A049E" w:rsidP="00187A0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A049E" w:rsidP="00187A0C"/>
          <w:p w:rsidR="008423E4" w:rsidRDefault="008A049E" w:rsidP="00187A0C">
            <w:pPr>
              <w:pStyle w:val="Header"/>
              <w:jc w:val="both"/>
            </w:pPr>
            <w:r>
              <w:t>Hurricane Harvey</w:t>
            </w:r>
            <w:r>
              <w:t xml:space="preserve"> was a massively devastating storm</w:t>
            </w:r>
            <w:r>
              <w:t>,</w:t>
            </w:r>
            <w:r>
              <w:t xml:space="preserve"> </w:t>
            </w:r>
            <w:r>
              <w:t>and</w:t>
            </w:r>
            <w:r>
              <w:t xml:space="preserve"> </w:t>
            </w:r>
            <w:r>
              <w:t xml:space="preserve">state and local governmental entities have faced </w:t>
            </w:r>
            <w:r>
              <w:t>numerous</w:t>
            </w:r>
            <w:r>
              <w:t xml:space="preserve"> challenges in the recovery process</w:t>
            </w:r>
            <w:r>
              <w:t>.</w:t>
            </w:r>
            <w:r>
              <w:t xml:space="preserve"> </w:t>
            </w:r>
            <w:r>
              <w:t xml:space="preserve">Due to debris management planning that </w:t>
            </w:r>
            <w:r>
              <w:t xml:space="preserve">at times </w:t>
            </w:r>
            <w:r>
              <w:t xml:space="preserve">proved to be inadequate, </w:t>
            </w:r>
            <w:r>
              <w:t xml:space="preserve">debris disposal continued </w:t>
            </w:r>
            <w:r>
              <w:t>long</w:t>
            </w:r>
            <w:r>
              <w:t xml:space="preserve"> after the storm</w:t>
            </w:r>
            <w:r>
              <w:t xml:space="preserve"> in a number of the hardest</w:t>
            </w:r>
            <w:r>
              <w:t>-</w:t>
            </w:r>
            <w:r>
              <w:t>hit areas of Texas</w:t>
            </w:r>
            <w:r>
              <w:t xml:space="preserve">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5 </w:t>
            </w:r>
            <w:r>
              <w:t>seeks to ensure</w:t>
            </w:r>
            <w:r>
              <w:t xml:space="preserve"> that</w:t>
            </w:r>
            <w:r>
              <w:t xml:space="preserve"> </w:t>
            </w:r>
            <w:r>
              <w:t xml:space="preserve">local jurisdictions </w:t>
            </w:r>
            <w:r>
              <w:t xml:space="preserve">are better prepared to respond to and recover from natural disasters </w:t>
            </w:r>
            <w:r>
              <w:t>like Hurricane Harvey in the future by providing for the development of a catastrophic debris management plan and related training and setting out other provisions relating to disaster re</w:t>
            </w:r>
            <w:r>
              <w:t>covery efforts</w:t>
            </w:r>
            <w:r>
              <w:t>.</w:t>
            </w:r>
          </w:p>
          <w:p w:rsidR="008423E4" w:rsidRPr="00E26B13" w:rsidRDefault="008A049E" w:rsidP="00187A0C">
            <w:pPr>
              <w:rPr>
                <w:b/>
              </w:rPr>
            </w:pPr>
          </w:p>
        </w:tc>
      </w:tr>
      <w:tr w:rsidR="00A23E27" w:rsidTr="00345119">
        <w:tc>
          <w:tcPr>
            <w:tcW w:w="9576" w:type="dxa"/>
          </w:tcPr>
          <w:p w:rsidR="0017725B" w:rsidRDefault="008A049E" w:rsidP="00187A0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A049E" w:rsidP="00187A0C">
            <w:pPr>
              <w:rPr>
                <w:b/>
                <w:u w:val="single"/>
              </w:rPr>
            </w:pPr>
          </w:p>
          <w:p w:rsidR="0017725B" w:rsidRPr="0017725B" w:rsidRDefault="008A049E" w:rsidP="00187A0C">
            <w:pPr>
              <w:tabs>
                <w:tab w:val="left" w:pos="3430"/>
              </w:tabs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</w:t>
            </w:r>
            <w:r>
              <w:t>for community supervision, parole, or mandatory supervision.</w:t>
            </w:r>
            <w:r>
              <w:tab/>
            </w:r>
          </w:p>
          <w:p w:rsidR="0017725B" w:rsidRPr="0017725B" w:rsidRDefault="008A049E" w:rsidP="00187A0C">
            <w:pPr>
              <w:rPr>
                <w:b/>
                <w:u w:val="single"/>
              </w:rPr>
            </w:pPr>
          </w:p>
        </w:tc>
      </w:tr>
      <w:tr w:rsidR="00A23E27" w:rsidTr="00345119">
        <w:tc>
          <w:tcPr>
            <w:tcW w:w="9576" w:type="dxa"/>
          </w:tcPr>
          <w:p w:rsidR="008423E4" w:rsidRPr="00A8133F" w:rsidRDefault="008A049E" w:rsidP="00187A0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A049E" w:rsidP="00187A0C"/>
          <w:p w:rsidR="001761BE" w:rsidRDefault="008A049E" w:rsidP="00187A0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8A049E" w:rsidP="00187A0C">
            <w:pPr>
              <w:rPr>
                <w:b/>
              </w:rPr>
            </w:pPr>
          </w:p>
        </w:tc>
      </w:tr>
      <w:tr w:rsidR="00A23E27" w:rsidTr="00345119">
        <w:tc>
          <w:tcPr>
            <w:tcW w:w="9576" w:type="dxa"/>
          </w:tcPr>
          <w:p w:rsidR="008423E4" w:rsidRPr="00A8133F" w:rsidRDefault="008A049E" w:rsidP="00187A0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A049E" w:rsidP="00187A0C"/>
          <w:p w:rsidR="007A30FB" w:rsidRDefault="008A049E" w:rsidP="00187A0C">
            <w:pPr>
              <w:pStyle w:val="Header"/>
              <w:jc w:val="both"/>
            </w:pPr>
            <w:r>
              <w:t xml:space="preserve">C.S.H.B. 5 amends the Government Code to require the </w:t>
            </w:r>
            <w:r w:rsidRPr="007A30FB">
              <w:t>Texas Division of Emergency Management</w:t>
            </w:r>
            <w:r>
              <w:t xml:space="preserve"> (TDEM), in consultation with any other state agencies selected by TDEM </w:t>
            </w:r>
            <w:r>
              <w:t>and no</w:t>
            </w:r>
            <w:r>
              <w:t>t</w:t>
            </w:r>
            <w:r>
              <w:t xml:space="preserve"> later than January 1, 2020,</w:t>
            </w:r>
            <w:r>
              <w:t xml:space="preserve"> to develop a catastrophic debris management pl</w:t>
            </w:r>
            <w:r>
              <w:t xml:space="preserve">an and model guide for use by political subdivisions in the event of a disaster. The bill </w:t>
            </w:r>
            <w:r>
              <w:t>sets out the require</w:t>
            </w:r>
            <w:r>
              <w:t>d</w:t>
            </w:r>
            <w:r>
              <w:t xml:space="preserve"> </w:t>
            </w:r>
            <w:r>
              <w:t xml:space="preserve">components </w:t>
            </w:r>
            <w:r>
              <w:t>of the</w:t>
            </w:r>
            <w:r>
              <w:t xml:space="preserve"> plan</w:t>
            </w:r>
            <w:r>
              <w:t xml:space="preserve"> and</w:t>
            </w:r>
            <w:r>
              <w:t xml:space="preserve"> requires </w:t>
            </w:r>
            <w:r>
              <w:t>the</w:t>
            </w:r>
            <w:r>
              <w:t xml:space="preserve"> </w:t>
            </w:r>
            <w:r>
              <w:t xml:space="preserve">Texas A&amp;M Engineering Extension Service </w:t>
            </w:r>
            <w:r>
              <w:t>to</w:t>
            </w:r>
            <w:r>
              <w:t xml:space="preserve"> establish a training program for state agencies and political</w:t>
            </w:r>
            <w:r>
              <w:t xml:space="preserve"> subdivisions on the use of trench burners in debris removal.</w:t>
            </w:r>
            <w:r>
              <w:t xml:space="preserve"> </w:t>
            </w:r>
            <w:r>
              <w:t xml:space="preserve">The bill </w:t>
            </w:r>
            <w:r>
              <w:t>requires TDEM</w:t>
            </w:r>
            <w:r>
              <w:t xml:space="preserve">, in consultation with </w:t>
            </w:r>
            <w:r>
              <w:t>FEMA</w:t>
            </w:r>
            <w:r>
              <w:t xml:space="preserve">, </w:t>
            </w:r>
            <w:r>
              <w:t>to</w:t>
            </w:r>
            <w:r>
              <w:t xml:space="preserve"> develop and publish a model contract for debris removal services to be used by political subdivisions following a disaster.</w:t>
            </w:r>
            <w:r>
              <w:t xml:space="preserve"> The bill require</w:t>
            </w:r>
            <w:r>
              <w:t xml:space="preserve">s TDEM to </w:t>
            </w:r>
            <w:r>
              <w:t>consult with the comptroller</w:t>
            </w:r>
            <w:r>
              <w:t xml:space="preserve"> of public accounts</w:t>
            </w:r>
            <w:r>
              <w:t xml:space="preserve"> to</w:t>
            </w:r>
            <w:r>
              <w:t xml:space="preserve"> </w:t>
            </w:r>
            <w:r>
              <w:t xml:space="preserve">establish appropriate contracting standards and contractor requirements </w:t>
            </w:r>
            <w:r>
              <w:t>for</w:t>
            </w:r>
            <w:r>
              <w:t xml:space="preserve"> the model contract and</w:t>
            </w:r>
            <w:r>
              <w:t xml:space="preserve"> </w:t>
            </w:r>
            <w:r>
              <w:t>include a contract for debris removal services on the schedule of multiple award contracts or in</w:t>
            </w:r>
            <w:r>
              <w:t xml:space="preserve"> another cooperative purchasing program administered by the comptroller.</w:t>
            </w:r>
          </w:p>
          <w:p w:rsidR="00AA1D12" w:rsidRDefault="008A049E" w:rsidP="00187A0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AA1D12" w:rsidRDefault="008A049E" w:rsidP="00187A0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5 </w:t>
            </w:r>
            <w:r>
              <w:t>establish</w:t>
            </w:r>
            <w:r>
              <w:t>es</w:t>
            </w:r>
            <w:r>
              <w:t xml:space="preserve"> the wet debris study group, of which the chief of TDEM is the chair,</w:t>
            </w:r>
            <w:r>
              <w:t xml:space="preserve"> to study</w:t>
            </w:r>
            <w:r>
              <w:t xml:space="preserve"> </w:t>
            </w:r>
            <w:r w:rsidRPr="00F4272C">
              <w:t>issues related to removal of wet debris</w:t>
            </w:r>
            <w:r>
              <w:t>. The bill</w:t>
            </w:r>
            <w:r w:rsidRPr="00F4272C">
              <w:t xml:space="preserve"> </w:t>
            </w:r>
            <w:r>
              <w:t xml:space="preserve">sets out </w:t>
            </w:r>
            <w:r>
              <w:t>the study group's</w:t>
            </w:r>
            <w:r>
              <w:t xml:space="preserve"> composition</w:t>
            </w:r>
            <w:r>
              <w:t xml:space="preserve"> and</w:t>
            </w:r>
            <w:r>
              <w:t xml:space="preserve"> requires the study group</w:t>
            </w:r>
            <w:r>
              <w:t xml:space="preserve"> to submit a report containing recommendations on </w:t>
            </w:r>
            <w:r>
              <w:t xml:space="preserve">those </w:t>
            </w:r>
            <w:r>
              <w:t xml:space="preserve">issues </w:t>
            </w:r>
            <w:r>
              <w:t>t</w:t>
            </w:r>
            <w:r>
              <w:t>o each member of the legislature</w:t>
            </w:r>
            <w:r>
              <w:t xml:space="preserve"> not later than November 1, 2020</w:t>
            </w:r>
            <w:r>
              <w:t>.</w:t>
            </w:r>
            <w:r>
              <w:t xml:space="preserve"> These provisions expire </w:t>
            </w:r>
            <w:r>
              <w:t xml:space="preserve">and the </w:t>
            </w:r>
            <w:r>
              <w:t>study</w:t>
            </w:r>
            <w:r>
              <w:t xml:space="preserve"> group is abolished </w:t>
            </w:r>
            <w:r>
              <w:t>January 1, 202</w:t>
            </w:r>
            <w:r>
              <w:t>1</w:t>
            </w:r>
            <w:r>
              <w:t>.</w:t>
            </w:r>
          </w:p>
          <w:p w:rsidR="00AA1D12" w:rsidRDefault="008A049E" w:rsidP="00187A0C">
            <w:pPr>
              <w:pStyle w:val="Header"/>
              <w:jc w:val="both"/>
            </w:pPr>
          </w:p>
          <w:p w:rsidR="00910001" w:rsidRDefault="008A049E" w:rsidP="00187A0C">
            <w:pPr>
              <w:pStyle w:val="Header"/>
              <w:jc w:val="both"/>
            </w:pPr>
            <w:r>
              <w:t>C.S.H.B. 5</w:t>
            </w:r>
            <w:r>
              <w:t xml:space="preserve"> establish</w:t>
            </w:r>
            <w:r>
              <w:t>es</w:t>
            </w:r>
            <w:r>
              <w:t xml:space="preserve"> a work group, of which the chief of TDEM is the chair, to study local restrictions that impede disaster recovery efforts</w:t>
            </w:r>
            <w:r>
              <w:t>. The bill</w:t>
            </w:r>
            <w:r>
              <w:t xml:space="preserve"> sets</w:t>
            </w:r>
            <w:r>
              <w:t xml:space="preserve"> out the work group's composition</w:t>
            </w:r>
            <w:r>
              <w:t xml:space="preserve"> and</w:t>
            </w:r>
            <w:r>
              <w:t xml:space="preserve"> the required contents of the study</w:t>
            </w:r>
            <w:r>
              <w:t xml:space="preserve"> and</w:t>
            </w:r>
            <w:r>
              <w:t xml:space="preserve"> requires the work group to subm</w:t>
            </w:r>
            <w:r>
              <w:t>it a written report to the members of the legislature with the</w:t>
            </w:r>
            <w:r>
              <w:t xml:space="preserve"> study</w:t>
            </w:r>
            <w:r>
              <w:t xml:space="preserve"> results </w:t>
            </w:r>
            <w:r>
              <w:t>not later than November 1, 2020</w:t>
            </w:r>
            <w:r>
              <w:t>.</w:t>
            </w:r>
            <w:r>
              <w:t xml:space="preserve"> </w:t>
            </w:r>
            <w:r>
              <w:t>These provisions</w:t>
            </w:r>
            <w:r>
              <w:t xml:space="preserve"> expire </w:t>
            </w:r>
            <w:r>
              <w:t xml:space="preserve">and the work group is abolished </w:t>
            </w:r>
            <w:r>
              <w:t>January 1, 2021</w:t>
            </w:r>
            <w:r>
              <w:t>.</w:t>
            </w:r>
          </w:p>
          <w:p w:rsidR="008423E4" w:rsidRPr="00835628" w:rsidRDefault="008A049E" w:rsidP="00187A0C">
            <w:pPr>
              <w:rPr>
                <w:b/>
              </w:rPr>
            </w:pPr>
          </w:p>
        </w:tc>
      </w:tr>
      <w:tr w:rsidR="00A23E27" w:rsidTr="00345119">
        <w:tc>
          <w:tcPr>
            <w:tcW w:w="9576" w:type="dxa"/>
          </w:tcPr>
          <w:p w:rsidR="008423E4" w:rsidRPr="00A8133F" w:rsidRDefault="008A049E" w:rsidP="00187A0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A049E" w:rsidP="00187A0C"/>
          <w:p w:rsidR="008423E4" w:rsidRPr="003624F2" w:rsidRDefault="008A049E" w:rsidP="00187A0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8A049E" w:rsidP="00187A0C">
            <w:pPr>
              <w:rPr>
                <w:b/>
              </w:rPr>
            </w:pPr>
          </w:p>
        </w:tc>
      </w:tr>
      <w:tr w:rsidR="00A23E27" w:rsidTr="00345119">
        <w:tc>
          <w:tcPr>
            <w:tcW w:w="9576" w:type="dxa"/>
          </w:tcPr>
          <w:p w:rsidR="00FE7FA9" w:rsidRDefault="008A049E" w:rsidP="00187A0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COMPARISON OF ORIGINAL AND </w:t>
            </w:r>
            <w:r>
              <w:rPr>
                <w:b/>
                <w:u w:val="single"/>
              </w:rPr>
              <w:t>SUBSTITUTE</w:t>
            </w:r>
          </w:p>
          <w:p w:rsidR="001041BA" w:rsidRDefault="008A049E" w:rsidP="00187A0C">
            <w:pPr>
              <w:jc w:val="both"/>
            </w:pPr>
          </w:p>
          <w:p w:rsidR="001041BA" w:rsidRDefault="008A049E" w:rsidP="00187A0C">
            <w:pPr>
              <w:jc w:val="both"/>
            </w:pPr>
            <w:r>
              <w:t>While C.S.H.B. 5 may differ from the original in minor or nonsubstantive ways, the following summarizes the substantial differences between the introduced and committee substitute versions of the bill.</w:t>
            </w:r>
          </w:p>
          <w:p w:rsidR="001041BA" w:rsidRDefault="008A049E" w:rsidP="00187A0C">
            <w:pPr>
              <w:jc w:val="both"/>
            </w:pPr>
          </w:p>
          <w:p w:rsidR="001041BA" w:rsidRDefault="008A049E" w:rsidP="00187A0C">
            <w:pPr>
              <w:jc w:val="both"/>
            </w:pPr>
            <w:r>
              <w:t>The substitute does not include the requi</w:t>
            </w:r>
            <w:r>
              <w:t>rement that TDEM consult with the Texas A&amp;M AgriLife Extension Services in developing the catastrophic debris management plan</w:t>
            </w:r>
            <w:r>
              <w:t xml:space="preserve"> and model guide</w:t>
            </w:r>
            <w:r>
              <w:t xml:space="preserve"> </w:t>
            </w:r>
            <w:r>
              <w:t xml:space="preserve">but provides </w:t>
            </w:r>
            <w:r>
              <w:t xml:space="preserve">for TDEM </w:t>
            </w:r>
            <w:r>
              <w:t xml:space="preserve">instead </w:t>
            </w:r>
            <w:r>
              <w:t>to consult with any state agencies selected by TDEM.</w:t>
            </w:r>
          </w:p>
          <w:p w:rsidR="001041BA" w:rsidRDefault="008A049E" w:rsidP="00187A0C">
            <w:pPr>
              <w:jc w:val="both"/>
            </w:pPr>
          </w:p>
          <w:p w:rsidR="001041BA" w:rsidRDefault="008A049E" w:rsidP="00187A0C">
            <w:pPr>
              <w:jc w:val="both"/>
            </w:pPr>
            <w:r>
              <w:t xml:space="preserve">The substitute </w:t>
            </w:r>
            <w:r>
              <w:t xml:space="preserve">revises </w:t>
            </w:r>
            <w:r>
              <w:t>the com</w:t>
            </w:r>
            <w:r>
              <w:t>position of the wet debris study group</w:t>
            </w:r>
            <w:r>
              <w:t xml:space="preserve"> and the work group on local restrictions that impede disaster recovery efforts</w:t>
            </w:r>
            <w:r>
              <w:t>.</w:t>
            </w:r>
            <w:r>
              <w:t xml:space="preserve"> The substitute includes provisions making the chief of TDEM chair of both the study group and the work group.</w:t>
            </w:r>
          </w:p>
          <w:p w:rsidR="001041BA" w:rsidRDefault="008A049E" w:rsidP="00187A0C">
            <w:pPr>
              <w:jc w:val="both"/>
            </w:pPr>
          </w:p>
          <w:p w:rsidR="001041BA" w:rsidRDefault="008A049E" w:rsidP="00187A0C">
            <w:pPr>
              <w:jc w:val="both"/>
            </w:pPr>
            <w:r>
              <w:t>The substitute does not in</w:t>
            </w:r>
            <w:r>
              <w:t>clude</w:t>
            </w:r>
            <w:r>
              <w:t xml:space="preserve"> a provision</w:t>
            </w:r>
            <w:r>
              <w:t xml:space="preserve"> </w:t>
            </w:r>
            <w:r>
              <w:t>requiring</w:t>
            </w:r>
            <w:r>
              <w:t xml:space="preserve"> the study </w:t>
            </w:r>
            <w:r>
              <w:t xml:space="preserve">conducted </w:t>
            </w:r>
            <w:r>
              <w:t>by the work group</w:t>
            </w:r>
            <w:r>
              <w:t xml:space="preserve"> to include recommendations relating to gubernatorial authority to suspend certain local requirements after a disaster for a limited period</w:t>
            </w:r>
            <w:r>
              <w:t>.</w:t>
            </w:r>
          </w:p>
          <w:p w:rsidR="001041BA" w:rsidRPr="001041BA" w:rsidRDefault="008A049E" w:rsidP="00187A0C">
            <w:pPr>
              <w:jc w:val="both"/>
            </w:pPr>
          </w:p>
        </w:tc>
      </w:tr>
      <w:tr w:rsidR="00A23E27" w:rsidTr="00345119">
        <w:tc>
          <w:tcPr>
            <w:tcW w:w="9576" w:type="dxa"/>
          </w:tcPr>
          <w:p w:rsidR="00FE7FA9" w:rsidRPr="009C1E9A" w:rsidRDefault="008A049E" w:rsidP="00187A0C">
            <w:pPr>
              <w:rPr>
                <w:b/>
                <w:u w:val="single"/>
              </w:rPr>
            </w:pPr>
          </w:p>
        </w:tc>
      </w:tr>
      <w:tr w:rsidR="00A23E27" w:rsidTr="00345119">
        <w:tc>
          <w:tcPr>
            <w:tcW w:w="9576" w:type="dxa"/>
          </w:tcPr>
          <w:p w:rsidR="00FE7FA9" w:rsidRPr="00FE7FA9" w:rsidRDefault="008A049E" w:rsidP="00187A0C">
            <w:pPr>
              <w:jc w:val="both"/>
            </w:pPr>
          </w:p>
        </w:tc>
      </w:tr>
    </w:tbl>
    <w:p w:rsidR="008423E4" w:rsidRPr="00BE0E75" w:rsidRDefault="008A049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A049E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A049E">
      <w:r>
        <w:separator/>
      </w:r>
    </w:p>
  </w:endnote>
  <w:endnote w:type="continuationSeparator" w:id="0">
    <w:p w:rsidR="00000000" w:rsidRDefault="008A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A04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23E27" w:rsidTr="009C1E9A">
      <w:trPr>
        <w:cantSplit/>
      </w:trPr>
      <w:tc>
        <w:tcPr>
          <w:tcW w:w="0" w:type="pct"/>
        </w:tcPr>
        <w:p w:rsidR="00137D90" w:rsidRDefault="008A049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A049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A049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A049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A049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23E27" w:rsidTr="009C1E9A">
      <w:trPr>
        <w:cantSplit/>
      </w:trPr>
      <w:tc>
        <w:tcPr>
          <w:tcW w:w="0" w:type="pct"/>
        </w:tcPr>
        <w:p w:rsidR="00EC379B" w:rsidRDefault="008A049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A049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24016</w:t>
          </w:r>
        </w:p>
      </w:tc>
      <w:tc>
        <w:tcPr>
          <w:tcW w:w="2453" w:type="pct"/>
        </w:tcPr>
        <w:p w:rsidR="00EC379B" w:rsidRDefault="008A049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19.92.1271</w:t>
          </w:r>
          <w:r>
            <w:fldChar w:fldCharType="end"/>
          </w:r>
        </w:p>
      </w:tc>
    </w:tr>
    <w:tr w:rsidR="00A23E27" w:rsidTr="009C1E9A">
      <w:trPr>
        <w:cantSplit/>
      </w:trPr>
      <w:tc>
        <w:tcPr>
          <w:tcW w:w="0" w:type="pct"/>
        </w:tcPr>
        <w:p w:rsidR="00EC379B" w:rsidRDefault="008A049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A049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21466</w:t>
          </w:r>
        </w:p>
      </w:tc>
      <w:tc>
        <w:tcPr>
          <w:tcW w:w="2453" w:type="pct"/>
        </w:tcPr>
        <w:p w:rsidR="00EC379B" w:rsidRDefault="008A049E" w:rsidP="006D504F">
          <w:pPr>
            <w:pStyle w:val="Footer"/>
            <w:rPr>
              <w:rStyle w:val="PageNumber"/>
            </w:rPr>
          </w:pPr>
        </w:p>
        <w:p w:rsidR="00EC379B" w:rsidRDefault="008A049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23E2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A049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8A049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A049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A0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A049E">
      <w:r>
        <w:separator/>
      </w:r>
    </w:p>
  </w:footnote>
  <w:footnote w:type="continuationSeparator" w:id="0">
    <w:p w:rsidR="00000000" w:rsidRDefault="008A0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A04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A04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A0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D67B3"/>
    <w:multiLevelType w:val="hybridMultilevel"/>
    <w:tmpl w:val="3620E7E2"/>
    <w:lvl w:ilvl="0" w:tplc="B6BCC9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2C2D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742D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988D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CA1E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6C83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A40D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8670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3091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C2966"/>
    <w:multiLevelType w:val="hybridMultilevel"/>
    <w:tmpl w:val="B00ADF7C"/>
    <w:lvl w:ilvl="0" w:tplc="E8DA95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88DF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4225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AC43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A27E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529B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6C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BC6C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0C5C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B5C13"/>
    <w:multiLevelType w:val="hybridMultilevel"/>
    <w:tmpl w:val="3F483ADA"/>
    <w:lvl w:ilvl="0" w:tplc="1598CB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A497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5676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B840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5071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5272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E85A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8C00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3C35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27"/>
    <w:rsid w:val="008A049E"/>
    <w:rsid w:val="00A2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85FAEE-3E16-4996-9FA6-21CBE7AC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761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761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761B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61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761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659</Words>
  <Characters>3582</Characters>
  <Application>Microsoft Office Word</Application>
  <DocSecurity>4</DocSecurity>
  <Lines>84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HB00005 (Committee Report (Substituted))</vt:lpstr>
    </vt:vector>
  </TitlesOfParts>
  <Company>State of Texas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24016</dc:subject>
  <dc:creator>State of Texas</dc:creator>
  <dc:description>HB 5 by Phelan-(H)Homeland Security &amp; Public Safety (Substitute Document Number: 86R 21466)</dc:description>
  <cp:lastModifiedBy>Stacey Nicchio</cp:lastModifiedBy>
  <cp:revision>2</cp:revision>
  <cp:lastPrinted>2003-11-26T17:21:00Z</cp:lastPrinted>
  <dcterms:created xsi:type="dcterms:W3CDTF">2019-04-04T21:56:00Z</dcterms:created>
  <dcterms:modified xsi:type="dcterms:W3CDTF">2019-04-04T21:56:00Z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19.92.1271</vt:lpwstr>
  </property>
</Properties>
</file>