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925FD" w:rsidTr="00345119">
        <w:tc>
          <w:tcPr>
            <w:tcW w:w="9576" w:type="dxa"/>
            <w:noWrap/>
          </w:tcPr>
          <w:p w:rsidR="008423E4" w:rsidRPr="0022177D" w:rsidRDefault="00B5312A" w:rsidP="00345119">
            <w:pPr>
              <w:pStyle w:val="Heading1"/>
            </w:pPr>
            <w:bookmarkStart w:id="0" w:name="_GoBack"/>
            <w:bookmarkEnd w:id="0"/>
            <w:r w:rsidRPr="00631897">
              <w:t>BILL ANALYSIS</w:t>
            </w:r>
          </w:p>
        </w:tc>
      </w:tr>
    </w:tbl>
    <w:p w:rsidR="008423E4" w:rsidRPr="0022177D" w:rsidRDefault="00B5312A" w:rsidP="008423E4">
      <w:pPr>
        <w:jc w:val="center"/>
      </w:pPr>
    </w:p>
    <w:p w:rsidR="008423E4" w:rsidRPr="00B31F0E" w:rsidRDefault="00B5312A" w:rsidP="008423E4"/>
    <w:p w:rsidR="008423E4" w:rsidRPr="00742794" w:rsidRDefault="00B5312A" w:rsidP="008423E4">
      <w:pPr>
        <w:tabs>
          <w:tab w:val="right" w:pos="9360"/>
        </w:tabs>
      </w:pPr>
    </w:p>
    <w:tbl>
      <w:tblPr>
        <w:tblW w:w="0" w:type="auto"/>
        <w:tblLayout w:type="fixed"/>
        <w:tblLook w:val="01E0" w:firstRow="1" w:lastRow="1" w:firstColumn="1" w:lastColumn="1" w:noHBand="0" w:noVBand="0"/>
      </w:tblPr>
      <w:tblGrid>
        <w:gridCol w:w="9576"/>
      </w:tblGrid>
      <w:tr w:rsidR="00B925FD" w:rsidTr="00345119">
        <w:tc>
          <w:tcPr>
            <w:tcW w:w="9576" w:type="dxa"/>
          </w:tcPr>
          <w:p w:rsidR="008423E4" w:rsidRPr="00861995" w:rsidRDefault="00B5312A" w:rsidP="00345119">
            <w:pPr>
              <w:jc w:val="right"/>
            </w:pPr>
            <w:r>
              <w:t>C.S.H.B. 7</w:t>
            </w:r>
          </w:p>
        </w:tc>
      </w:tr>
      <w:tr w:rsidR="00B925FD" w:rsidTr="00345119">
        <w:tc>
          <w:tcPr>
            <w:tcW w:w="9576" w:type="dxa"/>
          </w:tcPr>
          <w:p w:rsidR="008423E4" w:rsidRPr="00861995" w:rsidRDefault="00B5312A" w:rsidP="0056789F">
            <w:pPr>
              <w:jc w:val="right"/>
            </w:pPr>
            <w:r>
              <w:t xml:space="preserve">By: </w:t>
            </w:r>
            <w:r>
              <w:t>Morrison</w:t>
            </w:r>
          </w:p>
        </w:tc>
      </w:tr>
      <w:tr w:rsidR="00B925FD" w:rsidTr="00345119">
        <w:tc>
          <w:tcPr>
            <w:tcW w:w="9576" w:type="dxa"/>
          </w:tcPr>
          <w:p w:rsidR="008423E4" w:rsidRPr="00861995" w:rsidRDefault="00B5312A" w:rsidP="00345119">
            <w:pPr>
              <w:jc w:val="right"/>
            </w:pPr>
            <w:r>
              <w:t>Homeland Security &amp; Public Safety</w:t>
            </w:r>
          </w:p>
        </w:tc>
      </w:tr>
      <w:tr w:rsidR="00B925FD" w:rsidTr="00345119">
        <w:tc>
          <w:tcPr>
            <w:tcW w:w="9576" w:type="dxa"/>
          </w:tcPr>
          <w:p w:rsidR="008423E4" w:rsidRDefault="00B5312A" w:rsidP="00345119">
            <w:pPr>
              <w:jc w:val="right"/>
            </w:pPr>
            <w:r>
              <w:t>Committee Report (Substituted)</w:t>
            </w:r>
          </w:p>
        </w:tc>
      </w:tr>
    </w:tbl>
    <w:p w:rsidR="008423E4" w:rsidRDefault="00B5312A" w:rsidP="008423E4">
      <w:pPr>
        <w:tabs>
          <w:tab w:val="right" w:pos="9360"/>
        </w:tabs>
      </w:pPr>
    </w:p>
    <w:p w:rsidR="008423E4" w:rsidRDefault="00B5312A" w:rsidP="008423E4"/>
    <w:p w:rsidR="008423E4" w:rsidRDefault="00B5312A" w:rsidP="008423E4"/>
    <w:tbl>
      <w:tblPr>
        <w:tblW w:w="0" w:type="auto"/>
        <w:tblCellMar>
          <w:left w:w="115" w:type="dxa"/>
          <w:right w:w="115" w:type="dxa"/>
        </w:tblCellMar>
        <w:tblLook w:val="01E0" w:firstRow="1" w:lastRow="1" w:firstColumn="1" w:lastColumn="1" w:noHBand="0" w:noVBand="0"/>
      </w:tblPr>
      <w:tblGrid>
        <w:gridCol w:w="9576"/>
      </w:tblGrid>
      <w:tr w:rsidR="00B925FD" w:rsidTr="00345119">
        <w:tc>
          <w:tcPr>
            <w:tcW w:w="9576" w:type="dxa"/>
          </w:tcPr>
          <w:p w:rsidR="008423E4" w:rsidRPr="00A8133F" w:rsidRDefault="00B5312A" w:rsidP="00AF3552">
            <w:pPr>
              <w:rPr>
                <w:b/>
              </w:rPr>
            </w:pPr>
            <w:r w:rsidRPr="009C1E9A">
              <w:rPr>
                <w:b/>
                <w:u w:val="single"/>
              </w:rPr>
              <w:t>BACKGROUND AND PURPOSE</w:t>
            </w:r>
            <w:r>
              <w:rPr>
                <w:b/>
              </w:rPr>
              <w:t xml:space="preserve"> </w:t>
            </w:r>
          </w:p>
          <w:p w:rsidR="008423E4" w:rsidRDefault="00B5312A" w:rsidP="00AF3552"/>
          <w:p w:rsidR="008423E4" w:rsidRDefault="00B5312A" w:rsidP="00AF3552">
            <w:pPr>
              <w:pStyle w:val="Header"/>
              <w:jc w:val="both"/>
            </w:pPr>
            <w:r>
              <w:t>T</w:t>
            </w:r>
            <w:r w:rsidRPr="006D0D57">
              <w:t xml:space="preserve">he </w:t>
            </w:r>
            <w:r>
              <w:t xml:space="preserve">report issued by the </w:t>
            </w:r>
            <w:r w:rsidRPr="006D0D57">
              <w:t xml:space="preserve">Governor's </w:t>
            </w:r>
            <w:r>
              <w:t xml:space="preserve">Commission to </w:t>
            </w:r>
            <w:r w:rsidRPr="006D0D57">
              <w:t>Rebuild Texas</w:t>
            </w:r>
            <w:r>
              <w:t xml:space="preserve">, which was established following Hurricane </w:t>
            </w:r>
            <w:r>
              <w:t>Harvey</w:t>
            </w:r>
            <w:r>
              <w:t>,</w:t>
            </w:r>
            <w:r w:rsidRPr="006D0D57">
              <w:t xml:space="preserve"> </w:t>
            </w:r>
            <w:r>
              <w:t>included a recommendation to compile and maintain a comprehensive list of all the regulatory waivers needed during a disaster to expedite suspensions in any future event</w:t>
            </w:r>
            <w:r>
              <w:t xml:space="preserve">, as well as </w:t>
            </w:r>
            <w:r>
              <w:t>a recommendation to emphasize to emergency management personnel the import</w:t>
            </w:r>
            <w:r>
              <w:t>ance of working out partnership agreements and contracted services before a disaster strikes</w:t>
            </w:r>
            <w:r>
              <w:t>.</w:t>
            </w:r>
            <w:r w:rsidRPr="006D0D57">
              <w:t xml:space="preserve"> </w:t>
            </w:r>
            <w:r>
              <w:t>C.S.</w:t>
            </w:r>
            <w:r>
              <w:t>H.B. 7 seeks to act on th</w:t>
            </w:r>
            <w:r>
              <w:t>ose</w:t>
            </w:r>
            <w:r>
              <w:t xml:space="preserve"> recommendation</w:t>
            </w:r>
            <w:r>
              <w:t>s</w:t>
            </w:r>
            <w:r>
              <w:t xml:space="preserve"> in an effort to help eliminate administrative barriers that slow disaster recovery efforts</w:t>
            </w:r>
            <w:r>
              <w:t>.</w:t>
            </w:r>
          </w:p>
          <w:p w:rsidR="008423E4" w:rsidRPr="00E26B13" w:rsidRDefault="00B5312A" w:rsidP="00AF3552">
            <w:pPr>
              <w:rPr>
                <w:b/>
              </w:rPr>
            </w:pPr>
          </w:p>
        </w:tc>
      </w:tr>
      <w:tr w:rsidR="00B925FD" w:rsidTr="00345119">
        <w:tc>
          <w:tcPr>
            <w:tcW w:w="9576" w:type="dxa"/>
          </w:tcPr>
          <w:p w:rsidR="0017725B" w:rsidRDefault="00B5312A" w:rsidP="00AF3552">
            <w:pPr>
              <w:rPr>
                <w:b/>
                <w:u w:val="single"/>
              </w:rPr>
            </w:pPr>
            <w:r>
              <w:rPr>
                <w:b/>
                <w:u w:val="single"/>
              </w:rPr>
              <w:t>CRIMINAL JUSTICE IM</w:t>
            </w:r>
            <w:r>
              <w:rPr>
                <w:b/>
                <w:u w:val="single"/>
              </w:rPr>
              <w:t>PACT</w:t>
            </w:r>
          </w:p>
          <w:p w:rsidR="0017725B" w:rsidRDefault="00B5312A" w:rsidP="00AF3552">
            <w:pPr>
              <w:rPr>
                <w:b/>
                <w:u w:val="single"/>
              </w:rPr>
            </w:pPr>
          </w:p>
          <w:p w:rsidR="00247F3C" w:rsidRPr="00247F3C" w:rsidRDefault="00B5312A" w:rsidP="00AF3552">
            <w:pPr>
              <w:jc w:val="both"/>
            </w:pPr>
            <w:r>
              <w:t>It is the committee's opinion that this bill does not expressly create a criminal offense, increase the punishment for an existing criminal offense or category of offenses, or change the eligibility of a person for community supervision, parole, or m</w:t>
            </w:r>
            <w:r>
              <w:t>andatory supervision.</w:t>
            </w:r>
          </w:p>
          <w:p w:rsidR="0017725B" w:rsidRPr="0017725B" w:rsidRDefault="00B5312A" w:rsidP="00AF3552">
            <w:pPr>
              <w:rPr>
                <w:b/>
                <w:u w:val="single"/>
              </w:rPr>
            </w:pPr>
          </w:p>
        </w:tc>
      </w:tr>
      <w:tr w:rsidR="00B925FD" w:rsidTr="00345119">
        <w:tc>
          <w:tcPr>
            <w:tcW w:w="9576" w:type="dxa"/>
          </w:tcPr>
          <w:p w:rsidR="008423E4" w:rsidRPr="00A8133F" w:rsidRDefault="00B5312A" w:rsidP="00AF3552">
            <w:pPr>
              <w:rPr>
                <w:b/>
              </w:rPr>
            </w:pPr>
            <w:r w:rsidRPr="009C1E9A">
              <w:rPr>
                <w:b/>
                <w:u w:val="single"/>
              </w:rPr>
              <w:t>RULEMAKING AUTHORITY</w:t>
            </w:r>
            <w:r>
              <w:rPr>
                <w:b/>
              </w:rPr>
              <w:t xml:space="preserve"> </w:t>
            </w:r>
          </w:p>
          <w:p w:rsidR="008423E4" w:rsidRDefault="00B5312A" w:rsidP="00AF3552"/>
          <w:p w:rsidR="00247F3C" w:rsidRDefault="00B5312A" w:rsidP="00AF355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5312A" w:rsidP="00AF3552">
            <w:pPr>
              <w:rPr>
                <w:b/>
              </w:rPr>
            </w:pPr>
          </w:p>
        </w:tc>
      </w:tr>
      <w:tr w:rsidR="00B925FD" w:rsidTr="00345119">
        <w:tc>
          <w:tcPr>
            <w:tcW w:w="9576" w:type="dxa"/>
          </w:tcPr>
          <w:p w:rsidR="008423E4" w:rsidRPr="00A8133F" w:rsidRDefault="00B5312A" w:rsidP="00AF3552">
            <w:pPr>
              <w:rPr>
                <w:b/>
              </w:rPr>
            </w:pPr>
            <w:r w:rsidRPr="009C1E9A">
              <w:rPr>
                <w:b/>
                <w:u w:val="single"/>
              </w:rPr>
              <w:t>ANALYSIS</w:t>
            </w:r>
            <w:r>
              <w:rPr>
                <w:b/>
              </w:rPr>
              <w:t xml:space="preserve"> </w:t>
            </w:r>
          </w:p>
          <w:p w:rsidR="008423E4" w:rsidRDefault="00B5312A" w:rsidP="00AF3552"/>
          <w:p w:rsidR="009739FC" w:rsidRDefault="00B5312A" w:rsidP="00AF3552">
            <w:pPr>
              <w:pStyle w:val="Header"/>
              <w:jc w:val="both"/>
            </w:pPr>
            <w:r>
              <w:t>C.S.</w:t>
            </w:r>
            <w:r>
              <w:t xml:space="preserve">H.B. 7 amends the Government Code to require the governor's office, using existing resources, to compile and maintain a comprehensive list of regulatory statutes and rules that may require suspension during a disaster. The bill requires </w:t>
            </w:r>
            <w:r w:rsidRPr="00B546DC">
              <w:t>a</w:t>
            </w:r>
            <w:r>
              <w:t>n applicable</w:t>
            </w:r>
            <w:r w:rsidRPr="00B546DC">
              <w:t xml:space="preserve"> state</w:t>
            </w:r>
            <w:r w:rsidRPr="00B546DC">
              <w:t xml:space="preserve"> agency that would be impacted by the suspension o</w:t>
            </w:r>
            <w:r>
              <w:t>f a statute or rule on the list, on request by the governor's office, to review the list for accuracy and advise the governor's office regarding any statutes or rules that should be added to the list.</w:t>
            </w:r>
            <w:r>
              <w:t xml:space="preserve"> </w:t>
            </w:r>
          </w:p>
          <w:p w:rsidR="009739FC" w:rsidRDefault="00B5312A" w:rsidP="00AF3552">
            <w:pPr>
              <w:pStyle w:val="Header"/>
              <w:jc w:val="both"/>
            </w:pPr>
          </w:p>
          <w:p w:rsidR="00B546DC" w:rsidRDefault="00B5312A" w:rsidP="00AF3552">
            <w:pPr>
              <w:pStyle w:val="Header"/>
              <w:spacing w:before="120" w:after="120"/>
              <w:jc w:val="both"/>
            </w:pPr>
            <w:r>
              <w:t>C.S</w:t>
            </w:r>
            <w:r>
              <w:t>.</w:t>
            </w:r>
            <w:r>
              <w:t>H.B. 7</w:t>
            </w:r>
            <w:r>
              <w:t xml:space="preserve"> </w:t>
            </w:r>
            <w:r>
              <w:t xml:space="preserve">requires the </w:t>
            </w:r>
            <w:r w:rsidRPr="00B546DC">
              <w:t>Texas Division of Emergency Management</w:t>
            </w:r>
            <w:r>
              <w:t xml:space="preserve"> (TDEM), in consultation with other state agencies TDEM considers appropriate, to develop a plan to assist political subdivisions of </w:t>
            </w:r>
            <w:r>
              <w:t xml:space="preserve">the state </w:t>
            </w:r>
            <w:r>
              <w:t xml:space="preserve">with executing contracts for services likely to be </w:t>
            </w:r>
            <w:r>
              <w:t>nee</w:t>
            </w:r>
            <w:r>
              <w:t>ded following</w:t>
            </w:r>
            <w:r>
              <w:t xml:space="preserve"> a disaster</w:t>
            </w:r>
            <w:r>
              <w:t>. The bill sets out the training, recommendations, and assistance that the plan must</w:t>
            </w:r>
            <w:r>
              <w:t xml:space="preserve"> </w:t>
            </w:r>
            <w:r>
              <w:t>include</w:t>
            </w:r>
            <w:r>
              <w:t xml:space="preserve"> and </w:t>
            </w:r>
            <w:r>
              <w:t>requires TDEM to</w:t>
            </w:r>
            <w:r>
              <w:t xml:space="preserve"> consult with the comptroller </w:t>
            </w:r>
            <w:r>
              <w:t xml:space="preserve">of public accounts </w:t>
            </w:r>
            <w:r>
              <w:t xml:space="preserve">regarding including a contract for services </w:t>
            </w:r>
            <w:r>
              <w:t>likely to be needed follow</w:t>
            </w:r>
            <w:r>
              <w:t>ing</w:t>
            </w:r>
            <w:r>
              <w:t xml:space="preserve"> a disaster </w:t>
            </w:r>
            <w:r>
              <w:t>on the schedule of multiple award contracts or as part of another cooperative purchasing program administered by the comptroller.</w:t>
            </w:r>
          </w:p>
          <w:p w:rsidR="008423E4" w:rsidRPr="00835628" w:rsidRDefault="00B5312A" w:rsidP="00AF3552">
            <w:pPr>
              <w:rPr>
                <w:b/>
              </w:rPr>
            </w:pPr>
          </w:p>
        </w:tc>
      </w:tr>
      <w:tr w:rsidR="00B925FD" w:rsidTr="00345119">
        <w:tc>
          <w:tcPr>
            <w:tcW w:w="9576" w:type="dxa"/>
          </w:tcPr>
          <w:p w:rsidR="008423E4" w:rsidRPr="00A8133F" w:rsidRDefault="00B5312A" w:rsidP="00AF3552">
            <w:pPr>
              <w:rPr>
                <w:b/>
              </w:rPr>
            </w:pPr>
            <w:r w:rsidRPr="009C1E9A">
              <w:rPr>
                <w:b/>
                <w:u w:val="single"/>
              </w:rPr>
              <w:t>EFFECTIVE DATE</w:t>
            </w:r>
            <w:r>
              <w:rPr>
                <w:b/>
              </w:rPr>
              <w:t xml:space="preserve"> </w:t>
            </w:r>
          </w:p>
          <w:p w:rsidR="008423E4" w:rsidRDefault="00B5312A" w:rsidP="00AF3552"/>
          <w:p w:rsidR="008423E4" w:rsidRPr="003624F2" w:rsidRDefault="00B5312A" w:rsidP="00AF3552">
            <w:pPr>
              <w:pStyle w:val="Header"/>
              <w:tabs>
                <w:tab w:val="clear" w:pos="4320"/>
                <w:tab w:val="clear" w:pos="8640"/>
              </w:tabs>
              <w:jc w:val="both"/>
            </w:pPr>
            <w:r>
              <w:t>September 1, 2019.</w:t>
            </w:r>
          </w:p>
          <w:p w:rsidR="008423E4" w:rsidRDefault="00B5312A" w:rsidP="00AF3552">
            <w:pPr>
              <w:rPr>
                <w:b/>
              </w:rPr>
            </w:pPr>
          </w:p>
          <w:p w:rsidR="00AF3552" w:rsidRDefault="00B5312A" w:rsidP="00AF3552">
            <w:pPr>
              <w:rPr>
                <w:b/>
              </w:rPr>
            </w:pPr>
          </w:p>
          <w:p w:rsidR="00AF3552" w:rsidRPr="00233FDB" w:rsidRDefault="00B5312A" w:rsidP="00AF3552">
            <w:pPr>
              <w:rPr>
                <w:b/>
              </w:rPr>
            </w:pPr>
          </w:p>
        </w:tc>
      </w:tr>
      <w:tr w:rsidR="00B925FD" w:rsidTr="00345119">
        <w:tc>
          <w:tcPr>
            <w:tcW w:w="9576" w:type="dxa"/>
          </w:tcPr>
          <w:p w:rsidR="0056789F" w:rsidRDefault="00B5312A" w:rsidP="00AF3552">
            <w:pPr>
              <w:jc w:val="both"/>
              <w:rPr>
                <w:b/>
                <w:u w:val="single"/>
              </w:rPr>
            </w:pPr>
            <w:r>
              <w:rPr>
                <w:b/>
                <w:u w:val="single"/>
              </w:rPr>
              <w:t>COMPARISON OF ORIGINAL AND SUBSTITUTE</w:t>
            </w:r>
          </w:p>
          <w:p w:rsidR="0092205F" w:rsidRDefault="00B5312A" w:rsidP="00AF3552">
            <w:pPr>
              <w:jc w:val="both"/>
            </w:pPr>
          </w:p>
          <w:p w:rsidR="0092205F" w:rsidRDefault="00B5312A" w:rsidP="00AF3552">
            <w:pPr>
              <w:jc w:val="both"/>
            </w:pPr>
            <w:r>
              <w:t xml:space="preserve">While C.S.H.B. 7 may differ </w:t>
            </w:r>
            <w:r>
              <w:t>from the original in minor or nonsubstantive ways, the following summarizes the substantial differences between the introduced and committee substitute versions of the bill.</w:t>
            </w:r>
          </w:p>
          <w:p w:rsidR="0092205F" w:rsidRDefault="00B5312A" w:rsidP="00AF3552">
            <w:pPr>
              <w:jc w:val="both"/>
            </w:pPr>
          </w:p>
          <w:p w:rsidR="0092205F" w:rsidRDefault="00B5312A" w:rsidP="00AF3552">
            <w:pPr>
              <w:jc w:val="both"/>
            </w:pPr>
            <w:r>
              <w:t xml:space="preserve">The substitute changes </w:t>
            </w:r>
            <w:r>
              <w:t xml:space="preserve">the entities with which TDEM </w:t>
            </w:r>
            <w:r>
              <w:t>must</w:t>
            </w:r>
            <w:r>
              <w:t xml:space="preserve"> consult in developing th</w:t>
            </w:r>
            <w:r>
              <w:t xml:space="preserve">e plan </w:t>
            </w:r>
            <w:r>
              <w:t xml:space="preserve">from the Texas A&amp;M AgriLife Extension Service to any state agencies that TDEM considers appropriate. </w:t>
            </w:r>
          </w:p>
          <w:p w:rsidR="0092205F" w:rsidRPr="0092205F" w:rsidRDefault="00B5312A" w:rsidP="00AF3552">
            <w:pPr>
              <w:jc w:val="both"/>
            </w:pPr>
          </w:p>
        </w:tc>
      </w:tr>
      <w:tr w:rsidR="00B925FD" w:rsidTr="00345119">
        <w:tc>
          <w:tcPr>
            <w:tcW w:w="9576" w:type="dxa"/>
          </w:tcPr>
          <w:p w:rsidR="0056789F" w:rsidRPr="009C1E9A" w:rsidRDefault="00B5312A" w:rsidP="00AF3552">
            <w:pPr>
              <w:rPr>
                <w:b/>
                <w:u w:val="single"/>
              </w:rPr>
            </w:pPr>
          </w:p>
        </w:tc>
      </w:tr>
      <w:tr w:rsidR="00B925FD" w:rsidTr="00345119">
        <w:tc>
          <w:tcPr>
            <w:tcW w:w="9576" w:type="dxa"/>
          </w:tcPr>
          <w:p w:rsidR="0056789F" w:rsidRPr="0056789F" w:rsidRDefault="00B5312A" w:rsidP="00AF3552">
            <w:pPr>
              <w:jc w:val="both"/>
            </w:pPr>
          </w:p>
        </w:tc>
      </w:tr>
    </w:tbl>
    <w:p w:rsidR="008423E4" w:rsidRPr="00BE0E75" w:rsidRDefault="00B5312A" w:rsidP="008423E4">
      <w:pPr>
        <w:spacing w:line="480" w:lineRule="auto"/>
        <w:jc w:val="both"/>
        <w:rPr>
          <w:rFonts w:ascii="Arial" w:hAnsi="Arial"/>
          <w:sz w:val="16"/>
          <w:szCs w:val="16"/>
        </w:rPr>
      </w:pPr>
    </w:p>
    <w:p w:rsidR="004108C3" w:rsidRPr="008423E4" w:rsidRDefault="00B5312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5312A">
      <w:r>
        <w:separator/>
      </w:r>
    </w:p>
  </w:endnote>
  <w:endnote w:type="continuationSeparator" w:id="0">
    <w:p w:rsidR="00000000" w:rsidRDefault="00B5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3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925FD" w:rsidTr="009C1E9A">
      <w:trPr>
        <w:cantSplit/>
      </w:trPr>
      <w:tc>
        <w:tcPr>
          <w:tcW w:w="0" w:type="pct"/>
        </w:tcPr>
        <w:p w:rsidR="00137D90" w:rsidRDefault="00B5312A" w:rsidP="009C1E9A">
          <w:pPr>
            <w:pStyle w:val="Footer"/>
            <w:tabs>
              <w:tab w:val="clear" w:pos="8640"/>
              <w:tab w:val="right" w:pos="9360"/>
            </w:tabs>
          </w:pPr>
        </w:p>
      </w:tc>
      <w:tc>
        <w:tcPr>
          <w:tcW w:w="2395" w:type="pct"/>
        </w:tcPr>
        <w:p w:rsidR="00137D90" w:rsidRDefault="00B5312A" w:rsidP="009C1E9A">
          <w:pPr>
            <w:pStyle w:val="Footer"/>
            <w:tabs>
              <w:tab w:val="clear" w:pos="8640"/>
              <w:tab w:val="right" w:pos="9360"/>
            </w:tabs>
          </w:pPr>
        </w:p>
        <w:p w:rsidR="001A4310" w:rsidRDefault="00B5312A" w:rsidP="009C1E9A">
          <w:pPr>
            <w:pStyle w:val="Footer"/>
            <w:tabs>
              <w:tab w:val="clear" w:pos="8640"/>
              <w:tab w:val="right" w:pos="9360"/>
            </w:tabs>
          </w:pPr>
        </w:p>
        <w:p w:rsidR="00137D90" w:rsidRDefault="00B5312A" w:rsidP="009C1E9A">
          <w:pPr>
            <w:pStyle w:val="Footer"/>
            <w:tabs>
              <w:tab w:val="clear" w:pos="8640"/>
              <w:tab w:val="right" w:pos="9360"/>
            </w:tabs>
          </w:pPr>
        </w:p>
      </w:tc>
      <w:tc>
        <w:tcPr>
          <w:tcW w:w="2453" w:type="pct"/>
        </w:tcPr>
        <w:p w:rsidR="00137D90" w:rsidRDefault="00B5312A" w:rsidP="009C1E9A">
          <w:pPr>
            <w:pStyle w:val="Footer"/>
            <w:tabs>
              <w:tab w:val="clear" w:pos="8640"/>
              <w:tab w:val="right" w:pos="9360"/>
            </w:tabs>
            <w:jc w:val="right"/>
          </w:pPr>
        </w:p>
      </w:tc>
    </w:tr>
    <w:tr w:rsidR="00B925FD" w:rsidTr="009C1E9A">
      <w:trPr>
        <w:cantSplit/>
      </w:trPr>
      <w:tc>
        <w:tcPr>
          <w:tcW w:w="0" w:type="pct"/>
        </w:tcPr>
        <w:p w:rsidR="00EC379B" w:rsidRDefault="00B5312A" w:rsidP="009C1E9A">
          <w:pPr>
            <w:pStyle w:val="Footer"/>
            <w:tabs>
              <w:tab w:val="clear" w:pos="8640"/>
              <w:tab w:val="right" w:pos="9360"/>
            </w:tabs>
          </w:pPr>
        </w:p>
      </w:tc>
      <w:tc>
        <w:tcPr>
          <w:tcW w:w="2395" w:type="pct"/>
        </w:tcPr>
        <w:p w:rsidR="00EC379B" w:rsidRPr="009C1E9A" w:rsidRDefault="00B5312A" w:rsidP="009C1E9A">
          <w:pPr>
            <w:pStyle w:val="Footer"/>
            <w:tabs>
              <w:tab w:val="clear" w:pos="8640"/>
              <w:tab w:val="right" w:pos="9360"/>
            </w:tabs>
            <w:rPr>
              <w:rFonts w:ascii="Shruti" w:hAnsi="Shruti"/>
              <w:sz w:val="22"/>
            </w:rPr>
          </w:pPr>
          <w:r>
            <w:rPr>
              <w:rFonts w:ascii="Shruti" w:hAnsi="Shruti"/>
              <w:sz w:val="22"/>
            </w:rPr>
            <w:t>86R 24018</w:t>
          </w:r>
        </w:p>
      </w:tc>
      <w:tc>
        <w:tcPr>
          <w:tcW w:w="2453" w:type="pct"/>
        </w:tcPr>
        <w:p w:rsidR="00EC379B" w:rsidRDefault="00B5312A" w:rsidP="009C1E9A">
          <w:pPr>
            <w:pStyle w:val="Footer"/>
            <w:tabs>
              <w:tab w:val="clear" w:pos="8640"/>
              <w:tab w:val="right" w:pos="9360"/>
            </w:tabs>
            <w:jc w:val="right"/>
          </w:pPr>
          <w:r>
            <w:fldChar w:fldCharType="begin"/>
          </w:r>
          <w:r>
            <w:instrText xml:space="preserve"> DOCPROPERTY  OTID  \* MERGEFORMAT </w:instrText>
          </w:r>
          <w:r>
            <w:fldChar w:fldCharType="separate"/>
          </w:r>
          <w:r>
            <w:t>19.92.992</w:t>
          </w:r>
          <w:r>
            <w:fldChar w:fldCharType="end"/>
          </w:r>
        </w:p>
      </w:tc>
    </w:tr>
    <w:tr w:rsidR="00B925FD" w:rsidTr="009C1E9A">
      <w:trPr>
        <w:cantSplit/>
      </w:trPr>
      <w:tc>
        <w:tcPr>
          <w:tcW w:w="0" w:type="pct"/>
        </w:tcPr>
        <w:p w:rsidR="00EC379B" w:rsidRDefault="00B5312A" w:rsidP="009C1E9A">
          <w:pPr>
            <w:pStyle w:val="Footer"/>
            <w:tabs>
              <w:tab w:val="clear" w:pos="4320"/>
              <w:tab w:val="clear" w:pos="8640"/>
              <w:tab w:val="left" w:pos="2865"/>
            </w:tabs>
          </w:pPr>
        </w:p>
      </w:tc>
      <w:tc>
        <w:tcPr>
          <w:tcW w:w="2395" w:type="pct"/>
        </w:tcPr>
        <w:p w:rsidR="00EC379B" w:rsidRPr="009C1E9A" w:rsidRDefault="00B5312A" w:rsidP="009C1E9A">
          <w:pPr>
            <w:pStyle w:val="Footer"/>
            <w:tabs>
              <w:tab w:val="clear" w:pos="4320"/>
              <w:tab w:val="clear" w:pos="8640"/>
              <w:tab w:val="left" w:pos="2865"/>
            </w:tabs>
            <w:rPr>
              <w:rFonts w:ascii="Shruti" w:hAnsi="Shruti"/>
              <w:sz w:val="22"/>
            </w:rPr>
          </w:pPr>
          <w:r>
            <w:rPr>
              <w:rFonts w:ascii="Shruti" w:hAnsi="Shruti"/>
              <w:sz w:val="22"/>
            </w:rPr>
            <w:t>Substitute Document Number: 86R 20023</w:t>
          </w:r>
        </w:p>
      </w:tc>
      <w:tc>
        <w:tcPr>
          <w:tcW w:w="2453" w:type="pct"/>
        </w:tcPr>
        <w:p w:rsidR="00EC379B" w:rsidRDefault="00B5312A" w:rsidP="006D504F">
          <w:pPr>
            <w:pStyle w:val="Footer"/>
            <w:rPr>
              <w:rStyle w:val="PageNumber"/>
            </w:rPr>
          </w:pPr>
        </w:p>
        <w:p w:rsidR="00EC379B" w:rsidRDefault="00B5312A" w:rsidP="009C1E9A">
          <w:pPr>
            <w:pStyle w:val="Footer"/>
            <w:tabs>
              <w:tab w:val="clear" w:pos="8640"/>
              <w:tab w:val="right" w:pos="9360"/>
            </w:tabs>
            <w:jc w:val="right"/>
          </w:pPr>
        </w:p>
      </w:tc>
    </w:tr>
    <w:tr w:rsidR="00B925FD" w:rsidTr="009C1E9A">
      <w:trPr>
        <w:cantSplit/>
        <w:trHeight w:val="323"/>
      </w:trPr>
      <w:tc>
        <w:tcPr>
          <w:tcW w:w="0" w:type="pct"/>
          <w:gridSpan w:val="3"/>
        </w:tcPr>
        <w:p w:rsidR="00EC379B" w:rsidRDefault="00B5312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5312A" w:rsidP="009C1E9A">
          <w:pPr>
            <w:pStyle w:val="Footer"/>
            <w:tabs>
              <w:tab w:val="clear" w:pos="8640"/>
              <w:tab w:val="right" w:pos="9360"/>
            </w:tabs>
            <w:jc w:val="center"/>
          </w:pPr>
        </w:p>
      </w:tc>
    </w:tr>
  </w:tbl>
  <w:p w:rsidR="00EC379B" w:rsidRPr="00FF6F72" w:rsidRDefault="00B5312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3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5312A">
      <w:r>
        <w:separator/>
      </w:r>
    </w:p>
  </w:footnote>
  <w:footnote w:type="continuationSeparator" w:id="0">
    <w:p w:rsidR="00000000" w:rsidRDefault="00B5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3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3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53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126D6"/>
    <w:multiLevelType w:val="hybridMultilevel"/>
    <w:tmpl w:val="246A46C0"/>
    <w:lvl w:ilvl="0" w:tplc="78002B02">
      <w:start w:val="1"/>
      <w:numFmt w:val="bullet"/>
      <w:lvlText w:val=""/>
      <w:lvlJc w:val="left"/>
      <w:pPr>
        <w:tabs>
          <w:tab w:val="num" w:pos="720"/>
        </w:tabs>
        <w:ind w:left="720" w:hanging="360"/>
      </w:pPr>
      <w:rPr>
        <w:rFonts w:ascii="Symbol" w:hAnsi="Symbol" w:hint="default"/>
      </w:rPr>
    </w:lvl>
    <w:lvl w:ilvl="1" w:tplc="4A364634" w:tentative="1">
      <w:start w:val="1"/>
      <w:numFmt w:val="bullet"/>
      <w:lvlText w:val="o"/>
      <w:lvlJc w:val="left"/>
      <w:pPr>
        <w:ind w:left="1440" w:hanging="360"/>
      </w:pPr>
      <w:rPr>
        <w:rFonts w:ascii="Courier New" w:hAnsi="Courier New" w:cs="Courier New" w:hint="default"/>
      </w:rPr>
    </w:lvl>
    <w:lvl w:ilvl="2" w:tplc="A3B6F74A" w:tentative="1">
      <w:start w:val="1"/>
      <w:numFmt w:val="bullet"/>
      <w:lvlText w:val=""/>
      <w:lvlJc w:val="left"/>
      <w:pPr>
        <w:ind w:left="2160" w:hanging="360"/>
      </w:pPr>
      <w:rPr>
        <w:rFonts w:ascii="Wingdings" w:hAnsi="Wingdings" w:hint="default"/>
      </w:rPr>
    </w:lvl>
    <w:lvl w:ilvl="3" w:tplc="59B27554" w:tentative="1">
      <w:start w:val="1"/>
      <w:numFmt w:val="bullet"/>
      <w:lvlText w:val=""/>
      <w:lvlJc w:val="left"/>
      <w:pPr>
        <w:ind w:left="2880" w:hanging="360"/>
      </w:pPr>
      <w:rPr>
        <w:rFonts w:ascii="Symbol" w:hAnsi="Symbol" w:hint="default"/>
      </w:rPr>
    </w:lvl>
    <w:lvl w:ilvl="4" w:tplc="8A7885A0" w:tentative="1">
      <w:start w:val="1"/>
      <w:numFmt w:val="bullet"/>
      <w:lvlText w:val="o"/>
      <w:lvlJc w:val="left"/>
      <w:pPr>
        <w:ind w:left="3600" w:hanging="360"/>
      </w:pPr>
      <w:rPr>
        <w:rFonts w:ascii="Courier New" w:hAnsi="Courier New" w:cs="Courier New" w:hint="default"/>
      </w:rPr>
    </w:lvl>
    <w:lvl w:ilvl="5" w:tplc="AE44D760" w:tentative="1">
      <w:start w:val="1"/>
      <w:numFmt w:val="bullet"/>
      <w:lvlText w:val=""/>
      <w:lvlJc w:val="left"/>
      <w:pPr>
        <w:ind w:left="4320" w:hanging="360"/>
      </w:pPr>
      <w:rPr>
        <w:rFonts w:ascii="Wingdings" w:hAnsi="Wingdings" w:hint="default"/>
      </w:rPr>
    </w:lvl>
    <w:lvl w:ilvl="6" w:tplc="2B70E1F4" w:tentative="1">
      <w:start w:val="1"/>
      <w:numFmt w:val="bullet"/>
      <w:lvlText w:val=""/>
      <w:lvlJc w:val="left"/>
      <w:pPr>
        <w:ind w:left="5040" w:hanging="360"/>
      </w:pPr>
      <w:rPr>
        <w:rFonts w:ascii="Symbol" w:hAnsi="Symbol" w:hint="default"/>
      </w:rPr>
    </w:lvl>
    <w:lvl w:ilvl="7" w:tplc="E466D026" w:tentative="1">
      <w:start w:val="1"/>
      <w:numFmt w:val="bullet"/>
      <w:lvlText w:val="o"/>
      <w:lvlJc w:val="left"/>
      <w:pPr>
        <w:ind w:left="5760" w:hanging="360"/>
      </w:pPr>
      <w:rPr>
        <w:rFonts w:ascii="Courier New" w:hAnsi="Courier New" w:cs="Courier New" w:hint="default"/>
      </w:rPr>
    </w:lvl>
    <w:lvl w:ilvl="8" w:tplc="BDEA307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5FD"/>
    <w:rsid w:val="00B5312A"/>
    <w:rsid w:val="00B9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ACABC-0980-44F6-BD95-3A2B1689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546DC"/>
    <w:rPr>
      <w:sz w:val="16"/>
      <w:szCs w:val="16"/>
    </w:rPr>
  </w:style>
  <w:style w:type="paragraph" w:styleId="CommentText">
    <w:name w:val="annotation text"/>
    <w:basedOn w:val="Normal"/>
    <w:link w:val="CommentTextChar"/>
    <w:semiHidden/>
    <w:unhideWhenUsed/>
    <w:rsid w:val="00B546DC"/>
    <w:rPr>
      <w:sz w:val="20"/>
      <w:szCs w:val="20"/>
    </w:rPr>
  </w:style>
  <w:style w:type="character" w:customStyle="1" w:styleId="CommentTextChar">
    <w:name w:val="Comment Text Char"/>
    <w:basedOn w:val="DefaultParagraphFont"/>
    <w:link w:val="CommentText"/>
    <w:semiHidden/>
    <w:rsid w:val="00B546DC"/>
  </w:style>
  <w:style w:type="paragraph" w:styleId="CommentSubject">
    <w:name w:val="annotation subject"/>
    <w:basedOn w:val="CommentText"/>
    <w:next w:val="CommentText"/>
    <w:link w:val="CommentSubjectChar"/>
    <w:semiHidden/>
    <w:unhideWhenUsed/>
    <w:rsid w:val="00B546DC"/>
    <w:rPr>
      <w:b/>
      <w:bCs/>
    </w:rPr>
  </w:style>
  <w:style w:type="character" w:customStyle="1" w:styleId="CommentSubjectChar">
    <w:name w:val="Comment Subject Char"/>
    <w:basedOn w:val="CommentTextChar"/>
    <w:link w:val="CommentSubject"/>
    <w:semiHidden/>
    <w:rsid w:val="00B546DC"/>
    <w:rPr>
      <w:b/>
      <w:bCs/>
    </w:rPr>
  </w:style>
  <w:style w:type="character" w:styleId="Hyperlink">
    <w:name w:val="Hyperlink"/>
    <w:basedOn w:val="DefaultParagraphFont"/>
    <w:unhideWhenUsed/>
    <w:rsid w:val="003F3DD9"/>
    <w:rPr>
      <w:color w:val="0000FF" w:themeColor="hyperlink"/>
      <w:u w:val="single"/>
    </w:rPr>
  </w:style>
  <w:style w:type="character" w:styleId="FollowedHyperlink">
    <w:name w:val="FollowedHyperlink"/>
    <w:basedOn w:val="DefaultParagraphFont"/>
    <w:semiHidden/>
    <w:unhideWhenUsed/>
    <w:rsid w:val="00661D3F"/>
    <w:rPr>
      <w:color w:val="800080" w:themeColor="followedHyperlink"/>
      <w:u w:val="single"/>
    </w:rPr>
  </w:style>
  <w:style w:type="paragraph" w:styleId="Revision">
    <w:name w:val="Revision"/>
    <w:hidden/>
    <w:uiPriority w:val="99"/>
    <w:semiHidden/>
    <w:rsid w:val="00F93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BA - HB00007 (Committee Report (Substituted))</vt:lpstr>
    </vt:vector>
  </TitlesOfParts>
  <Company>State of Texas</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24018</dc:subject>
  <dc:creator>State of Texas</dc:creator>
  <dc:description>HB 7 by Morrison-(H)Homeland Security &amp; Public Safety (Substitute Document Number: 86R 20023)</dc:description>
  <cp:lastModifiedBy>Stacey Nicchio</cp:lastModifiedBy>
  <cp:revision>2</cp:revision>
  <cp:lastPrinted>2003-11-26T17:21:00Z</cp:lastPrinted>
  <dcterms:created xsi:type="dcterms:W3CDTF">2019-04-04T22:19:00Z</dcterms:created>
  <dcterms:modified xsi:type="dcterms:W3CDTF">2019-04-04T22:19:00Z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19.92.992</vt:lpwstr>
  </property>
</Properties>
</file>