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2446" w:rsidTr="00345119">
        <w:tc>
          <w:tcPr>
            <w:tcW w:w="9576" w:type="dxa"/>
            <w:noWrap/>
          </w:tcPr>
          <w:p w:rsidR="008423E4" w:rsidRPr="0022177D" w:rsidRDefault="00953D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3DF2" w:rsidP="008423E4">
      <w:pPr>
        <w:jc w:val="center"/>
      </w:pPr>
    </w:p>
    <w:p w:rsidR="008423E4" w:rsidRPr="00B31F0E" w:rsidRDefault="00953DF2" w:rsidP="008423E4"/>
    <w:p w:rsidR="008423E4" w:rsidRPr="00742794" w:rsidRDefault="00953D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2446" w:rsidTr="00345119">
        <w:tc>
          <w:tcPr>
            <w:tcW w:w="9576" w:type="dxa"/>
          </w:tcPr>
          <w:p w:rsidR="008423E4" w:rsidRPr="00861995" w:rsidRDefault="00953DF2" w:rsidP="00345119">
            <w:pPr>
              <w:jc w:val="right"/>
            </w:pPr>
            <w:r>
              <w:t>C.S.H.B. 37</w:t>
            </w:r>
          </w:p>
        </w:tc>
      </w:tr>
      <w:tr w:rsidR="00E02446" w:rsidTr="00345119">
        <w:tc>
          <w:tcPr>
            <w:tcW w:w="9576" w:type="dxa"/>
          </w:tcPr>
          <w:p w:rsidR="008423E4" w:rsidRPr="00861995" w:rsidRDefault="00953DF2" w:rsidP="008A13C4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E02446" w:rsidTr="00345119">
        <w:tc>
          <w:tcPr>
            <w:tcW w:w="9576" w:type="dxa"/>
          </w:tcPr>
          <w:p w:rsidR="008423E4" w:rsidRPr="00861995" w:rsidRDefault="00953DF2" w:rsidP="00345119">
            <w:pPr>
              <w:jc w:val="right"/>
            </w:pPr>
            <w:r>
              <w:t>Criminal Jurisprudence</w:t>
            </w:r>
          </w:p>
        </w:tc>
      </w:tr>
      <w:tr w:rsidR="00E02446" w:rsidTr="00345119">
        <w:tc>
          <w:tcPr>
            <w:tcW w:w="9576" w:type="dxa"/>
          </w:tcPr>
          <w:p w:rsidR="008423E4" w:rsidRDefault="00953DF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53DF2" w:rsidP="008423E4">
      <w:pPr>
        <w:tabs>
          <w:tab w:val="right" w:pos="9360"/>
        </w:tabs>
      </w:pPr>
    </w:p>
    <w:p w:rsidR="008423E4" w:rsidRDefault="00953DF2" w:rsidP="008423E4"/>
    <w:p w:rsidR="008423E4" w:rsidRDefault="00953D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2446" w:rsidTr="00345119">
        <w:tc>
          <w:tcPr>
            <w:tcW w:w="9576" w:type="dxa"/>
          </w:tcPr>
          <w:p w:rsidR="008423E4" w:rsidRPr="00A8133F" w:rsidRDefault="00953DF2" w:rsidP="000652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3DF2" w:rsidP="0006521F"/>
          <w:p w:rsidR="008423E4" w:rsidRDefault="00953DF2" w:rsidP="0006521F">
            <w:pPr>
              <w:pStyle w:val="Header"/>
              <w:jc w:val="both"/>
            </w:pPr>
            <w:r>
              <w:t xml:space="preserve">Concerns have been raised about potential limitations </w:t>
            </w:r>
            <w:r>
              <w:t>facing</w:t>
            </w:r>
            <w:r>
              <w:t xml:space="preserve"> law enforcement agencies </w:t>
            </w:r>
            <w:r>
              <w:t xml:space="preserve">as they </w:t>
            </w:r>
            <w:r>
              <w:t>pursu</w:t>
            </w:r>
            <w:r>
              <w:t>e</w:t>
            </w:r>
            <w:r>
              <w:t xml:space="preserve"> </w:t>
            </w:r>
            <w:r>
              <w:t>criminals who have</w:t>
            </w:r>
            <w:r>
              <w:t xml:space="preserve"> </w:t>
            </w:r>
            <w:r>
              <w:t xml:space="preserve">stolen </w:t>
            </w:r>
            <w:r>
              <w:t xml:space="preserve">mail. </w:t>
            </w:r>
            <w:r>
              <w:t>It has been suggested</w:t>
            </w:r>
            <w:r>
              <w:t xml:space="preserve"> that the referral of</w:t>
            </w:r>
            <w:r>
              <w:t xml:space="preserve"> such</w:t>
            </w:r>
            <w:r>
              <w:t xml:space="preserve"> mail theft </w:t>
            </w:r>
            <w:r>
              <w:t>for</w:t>
            </w:r>
            <w:r>
              <w:t xml:space="preserve"> </w:t>
            </w:r>
            <w:r>
              <w:t xml:space="preserve">federal </w:t>
            </w:r>
            <w:r>
              <w:t>prosecution</w:t>
            </w:r>
            <w:r>
              <w:t xml:space="preserve"> hampers the ability </w:t>
            </w:r>
            <w:r>
              <w:t>of</w:t>
            </w:r>
            <w:r>
              <w:t xml:space="preserve"> these agencies to seek justice for </w:t>
            </w:r>
            <w:r>
              <w:t>an</w:t>
            </w:r>
            <w:r>
              <w:t xml:space="preserve"> offense</w:t>
            </w:r>
            <w:r>
              <w:t xml:space="preserve"> that has</w:t>
            </w:r>
            <w:r>
              <w:t xml:space="preserve"> ramifications </w:t>
            </w:r>
            <w:r>
              <w:t xml:space="preserve">extending far </w:t>
            </w:r>
            <w:r>
              <w:t>beyond the theft of property</w:t>
            </w:r>
            <w:r>
              <w:t>,</w:t>
            </w:r>
            <w:r>
              <w:t xml:space="preserve"> considering the potentia</w:t>
            </w:r>
            <w:r>
              <w:t>l contents of the mail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 </w:t>
            </w:r>
            <w:r>
              <w:t>seeks to address this issue by creating the offense of mail theft</w:t>
            </w:r>
            <w:r>
              <w:t>.</w:t>
            </w:r>
          </w:p>
          <w:p w:rsidR="008423E4" w:rsidRPr="00E26B13" w:rsidRDefault="00953DF2" w:rsidP="0006521F">
            <w:pPr>
              <w:rPr>
                <w:b/>
              </w:rPr>
            </w:pPr>
          </w:p>
        </w:tc>
      </w:tr>
      <w:tr w:rsidR="00E02446" w:rsidTr="00345119">
        <w:tc>
          <w:tcPr>
            <w:tcW w:w="9576" w:type="dxa"/>
          </w:tcPr>
          <w:p w:rsidR="0017725B" w:rsidRDefault="00953DF2" w:rsidP="00065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3DF2" w:rsidP="0006521F">
            <w:pPr>
              <w:rPr>
                <w:b/>
                <w:u w:val="single"/>
              </w:rPr>
            </w:pPr>
          </w:p>
          <w:p w:rsidR="0035151A" w:rsidRPr="0035151A" w:rsidRDefault="00953DF2" w:rsidP="0006521F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953DF2" w:rsidP="0006521F">
            <w:pPr>
              <w:rPr>
                <w:b/>
                <w:u w:val="single"/>
              </w:rPr>
            </w:pPr>
          </w:p>
        </w:tc>
      </w:tr>
      <w:tr w:rsidR="00E02446" w:rsidTr="00345119">
        <w:tc>
          <w:tcPr>
            <w:tcW w:w="9576" w:type="dxa"/>
          </w:tcPr>
          <w:p w:rsidR="008423E4" w:rsidRPr="00A8133F" w:rsidRDefault="00953DF2" w:rsidP="000652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3DF2" w:rsidP="0006521F"/>
          <w:p w:rsidR="0035151A" w:rsidRDefault="00953DF2" w:rsidP="00065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953DF2" w:rsidP="0006521F">
            <w:pPr>
              <w:rPr>
                <w:b/>
              </w:rPr>
            </w:pPr>
          </w:p>
        </w:tc>
      </w:tr>
      <w:tr w:rsidR="00E02446" w:rsidTr="00345119">
        <w:tc>
          <w:tcPr>
            <w:tcW w:w="9576" w:type="dxa"/>
          </w:tcPr>
          <w:p w:rsidR="008423E4" w:rsidRDefault="00953DF2" w:rsidP="000652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64FBD" w:rsidRPr="00857910" w:rsidRDefault="00953DF2" w:rsidP="0006521F">
            <w:pPr>
              <w:rPr>
                <w:b/>
              </w:rPr>
            </w:pPr>
          </w:p>
          <w:p w:rsidR="00BA4DC0" w:rsidRDefault="00953DF2" w:rsidP="00065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37 amends the Penal Code to create the offense of mail theft for a person who</w:t>
            </w:r>
            <w:r>
              <w:t xml:space="preserve"> appropriates mai</w:t>
            </w:r>
            <w:r>
              <w:t>l</w:t>
            </w:r>
            <w:r w:rsidRPr="0094045E">
              <w:t xml:space="preserve"> without the effective cons</w:t>
            </w:r>
            <w:r>
              <w:t xml:space="preserve">ent of the applicable addressee </w:t>
            </w:r>
            <w:r w:rsidRPr="0094045E">
              <w:t>and with the intent to depr</w:t>
            </w:r>
            <w:r>
              <w:t>ive that addressee of the mail</w:t>
            </w:r>
            <w:r>
              <w:t>.</w:t>
            </w:r>
            <w:r>
              <w:t xml:space="preserve"> The bill establishes </w:t>
            </w:r>
            <w:r>
              <w:t xml:space="preserve">penalties for the offense ranging from </w:t>
            </w:r>
            <w:r>
              <w:t xml:space="preserve">a </w:t>
            </w:r>
            <w:r>
              <w:t>Class A misdemeanor</w:t>
            </w:r>
            <w:r>
              <w:t xml:space="preserve"> to a </w:t>
            </w:r>
            <w:r>
              <w:t>third</w:t>
            </w:r>
            <w:r>
              <w:t xml:space="preserve"> degree </w:t>
            </w:r>
            <w:r>
              <w:t xml:space="preserve">felony depending on the </w:t>
            </w:r>
            <w:r>
              <w:t xml:space="preserve">number </w:t>
            </w:r>
            <w:r>
              <w:t xml:space="preserve">of </w:t>
            </w:r>
            <w:r>
              <w:t>add</w:t>
            </w:r>
            <w:r>
              <w:t xml:space="preserve">ressees from </w:t>
            </w:r>
            <w:r>
              <w:t>which</w:t>
            </w:r>
            <w:r>
              <w:t xml:space="preserve"> the mail is appropriated. </w:t>
            </w:r>
            <w:r>
              <w:t xml:space="preserve">The bill </w:t>
            </w:r>
            <w:r>
              <w:t>provides</w:t>
            </w:r>
            <w:r>
              <w:t xml:space="preserve"> penalty enhancements</w:t>
            </w:r>
            <w:r>
              <w:t xml:space="preserve"> for the offense</w:t>
            </w:r>
            <w:r>
              <w:t xml:space="preserve"> ranging from a state jail felony to a first degree felony</w:t>
            </w:r>
            <w:r>
              <w:t xml:space="preserve"> for such conduct if:</w:t>
            </w:r>
          </w:p>
          <w:p w:rsidR="00950A55" w:rsidRDefault="00953DF2" w:rsidP="0006521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appropriated mail contained an item of identifying information and the ac</w:t>
            </w:r>
            <w:r>
              <w:t>tor committed the offense with the intent to facilitate an offense for the fraudulent use or possession of identifying information, or</w:t>
            </w:r>
          </w:p>
          <w:p w:rsidR="00BA4DC0" w:rsidRDefault="00953DF2" w:rsidP="0006521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actor knew or had reason to believe at the time of the offense that an addressee from whom the actor appropriated mai</w:t>
            </w:r>
            <w:r>
              <w:t xml:space="preserve">l was a disabled </w:t>
            </w:r>
            <w:r>
              <w:t xml:space="preserve">individual or an elderly </w:t>
            </w:r>
            <w:r>
              <w:t>individual.</w:t>
            </w:r>
          </w:p>
          <w:p w:rsidR="008423E4" w:rsidRDefault="00953DF2" w:rsidP="00065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 xml:space="preserve">f conduct that constitutes an offense under the bill's provisions also constitutes an offense under another law, </w:t>
            </w:r>
            <w:r>
              <w:t xml:space="preserve">the actor may be prosecuted </w:t>
            </w:r>
            <w:r>
              <w:t xml:space="preserve">under the bill's provisions, the other law, or both. </w:t>
            </w:r>
            <w:r>
              <w:t xml:space="preserve">The </w:t>
            </w:r>
            <w:r>
              <w:t>bill defines "mail" and provides for the definition of other terms by reference.</w:t>
            </w:r>
          </w:p>
          <w:p w:rsidR="008423E4" w:rsidRPr="00835628" w:rsidRDefault="00953DF2" w:rsidP="0006521F">
            <w:pPr>
              <w:rPr>
                <w:b/>
              </w:rPr>
            </w:pPr>
          </w:p>
        </w:tc>
      </w:tr>
      <w:tr w:rsidR="00E02446" w:rsidTr="00345119">
        <w:tc>
          <w:tcPr>
            <w:tcW w:w="9576" w:type="dxa"/>
          </w:tcPr>
          <w:p w:rsidR="008423E4" w:rsidRPr="00A8133F" w:rsidRDefault="00953DF2" w:rsidP="000652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3DF2" w:rsidP="0006521F"/>
          <w:p w:rsidR="008423E4" w:rsidRPr="003624F2" w:rsidRDefault="00953DF2" w:rsidP="00065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53DF2" w:rsidP="0006521F">
            <w:pPr>
              <w:rPr>
                <w:b/>
              </w:rPr>
            </w:pPr>
          </w:p>
        </w:tc>
      </w:tr>
      <w:tr w:rsidR="00E02446" w:rsidTr="00345119">
        <w:tc>
          <w:tcPr>
            <w:tcW w:w="9576" w:type="dxa"/>
          </w:tcPr>
          <w:p w:rsidR="00873227" w:rsidRDefault="00953DF2" w:rsidP="000652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6521F" w:rsidRPr="00873227" w:rsidRDefault="00953DF2" w:rsidP="0006521F">
            <w:pPr>
              <w:jc w:val="both"/>
              <w:rPr>
                <w:b/>
                <w:u w:val="single"/>
              </w:rPr>
            </w:pPr>
          </w:p>
          <w:p w:rsidR="00873227" w:rsidRDefault="00953DF2" w:rsidP="0006521F">
            <w:pPr>
              <w:jc w:val="both"/>
            </w:pPr>
            <w:r>
              <w:t xml:space="preserve">While C.S.H.B. 37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873227" w:rsidRDefault="00953DF2" w:rsidP="0006521F">
            <w:pPr>
              <w:jc w:val="both"/>
            </w:pPr>
          </w:p>
          <w:p w:rsidR="00A00E35" w:rsidRDefault="00953DF2" w:rsidP="0006521F">
            <w:pPr>
              <w:jc w:val="both"/>
            </w:pPr>
            <w:r>
              <w:t xml:space="preserve">The substitute </w:t>
            </w:r>
            <w:r>
              <w:t>revises the conduct constituting the offense of mail theft and the penalty range established for the offense. The substitute includ</w:t>
            </w:r>
            <w:r>
              <w:t>es penalty enhancements for the offense</w:t>
            </w:r>
            <w:r>
              <w:t xml:space="preserve"> based on the mail containing certain identifying information and on the victim being a disabled or elderly individual</w:t>
            </w:r>
            <w:r>
              <w:t>.</w:t>
            </w:r>
          </w:p>
          <w:p w:rsidR="00A00E35" w:rsidRDefault="00953DF2" w:rsidP="0006521F">
            <w:pPr>
              <w:jc w:val="both"/>
            </w:pPr>
          </w:p>
          <w:p w:rsidR="00873227" w:rsidRDefault="00953DF2" w:rsidP="0006521F">
            <w:pPr>
              <w:jc w:val="both"/>
            </w:pPr>
            <w:r>
              <w:t xml:space="preserve">The substitute </w:t>
            </w:r>
            <w:r>
              <w:t>includes a provision establishing that, i</w:t>
            </w:r>
            <w:r w:rsidRPr="00691ED7">
              <w:t>f conduct that constitutes an offense un</w:t>
            </w:r>
            <w:r w:rsidRPr="00691ED7">
              <w:t>der the bill's provisions also constitutes an offense under another law, the actor may be prosecuted under the bill's provisions, the other law, or both</w:t>
            </w:r>
            <w:r>
              <w:t>.</w:t>
            </w:r>
          </w:p>
          <w:p w:rsidR="00A00E35" w:rsidRDefault="00953DF2" w:rsidP="0006521F">
            <w:pPr>
              <w:jc w:val="both"/>
            </w:pPr>
          </w:p>
          <w:p w:rsidR="00A00E35" w:rsidRPr="00923A84" w:rsidRDefault="00953DF2" w:rsidP="0006521F">
            <w:pPr>
              <w:jc w:val="both"/>
            </w:pPr>
            <w:r>
              <w:t>The substitute includes definitions for "disabled individual," "elderly individual," and "identifying</w:t>
            </w:r>
            <w:r>
              <w:t xml:space="preserve"> information."</w:t>
            </w:r>
          </w:p>
          <w:p w:rsidR="00873227" w:rsidRPr="00873227" w:rsidRDefault="00953DF2" w:rsidP="0006521F">
            <w:pPr>
              <w:jc w:val="both"/>
            </w:pPr>
          </w:p>
        </w:tc>
      </w:tr>
      <w:tr w:rsidR="00E02446" w:rsidTr="00345119">
        <w:tc>
          <w:tcPr>
            <w:tcW w:w="9576" w:type="dxa"/>
          </w:tcPr>
          <w:p w:rsidR="008A13C4" w:rsidRPr="009C1E9A" w:rsidRDefault="00953DF2" w:rsidP="0006521F">
            <w:pPr>
              <w:rPr>
                <w:b/>
                <w:u w:val="single"/>
              </w:rPr>
            </w:pPr>
          </w:p>
        </w:tc>
      </w:tr>
      <w:tr w:rsidR="00E02446" w:rsidTr="00345119">
        <w:tc>
          <w:tcPr>
            <w:tcW w:w="9576" w:type="dxa"/>
          </w:tcPr>
          <w:p w:rsidR="008A13C4" w:rsidRPr="008A13C4" w:rsidRDefault="00953DF2" w:rsidP="0006521F">
            <w:pPr>
              <w:jc w:val="both"/>
            </w:pPr>
          </w:p>
        </w:tc>
      </w:tr>
    </w:tbl>
    <w:p w:rsidR="004108C3" w:rsidRPr="008423E4" w:rsidRDefault="00953DF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3DF2">
      <w:r>
        <w:separator/>
      </w:r>
    </w:p>
  </w:endnote>
  <w:endnote w:type="continuationSeparator" w:id="0">
    <w:p w:rsidR="00000000" w:rsidRDefault="0095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2" w:rsidRDefault="0095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2446" w:rsidTr="009C1E9A">
      <w:trPr>
        <w:cantSplit/>
      </w:trPr>
      <w:tc>
        <w:tcPr>
          <w:tcW w:w="0" w:type="pct"/>
        </w:tcPr>
        <w:p w:rsidR="00137D90" w:rsidRDefault="00953D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3D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3D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3D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3D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2446" w:rsidTr="009C1E9A">
      <w:trPr>
        <w:cantSplit/>
      </w:trPr>
      <w:tc>
        <w:tcPr>
          <w:tcW w:w="0" w:type="pct"/>
        </w:tcPr>
        <w:p w:rsidR="00EC379B" w:rsidRDefault="00953D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3D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30160</w:t>
          </w:r>
        </w:p>
      </w:tc>
      <w:tc>
        <w:tcPr>
          <w:tcW w:w="2453" w:type="pct"/>
        </w:tcPr>
        <w:p w:rsidR="00EC379B" w:rsidRDefault="00953D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19.117.222</w:t>
          </w:r>
          <w:r>
            <w:fldChar w:fldCharType="end"/>
          </w:r>
        </w:p>
      </w:tc>
    </w:tr>
    <w:tr w:rsidR="00E02446" w:rsidTr="009C1E9A">
      <w:trPr>
        <w:cantSplit/>
      </w:trPr>
      <w:tc>
        <w:tcPr>
          <w:tcW w:w="0" w:type="pct"/>
        </w:tcPr>
        <w:p w:rsidR="00EC379B" w:rsidRDefault="00953D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3D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23953</w:t>
          </w:r>
        </w:p>
      </w:tc>
      <w:tc>
        <w:tcPr>
          <w:tcW w:w="2453" w:type="pct"/>
        </w:tcPr>
        <w:p w:rsidR="00EC379B" w:rsidRDefault="00953DF2" w:rsidP="006D504F">
          <w:pPr>
            <w:pStyle w:val="Footer"/>
            <w:rPr>
              <w:rStyle w:val="PageNumber"/>
            </w:rPr>
          </w:pPr>
        </w:p>
        <w:p w:rsidR="00EC379B" w:rsidRDefault="00953D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24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3D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53D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3D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2" w:rsidRDefault="0095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3DF2">
      <w:r>
        <w:separator/>
      </w:r>
    </w:p>
  </w:footnote>
  <w:footnote w:type="continuationSeparator" w:id="0">
    <w:p w:rsidR="00000000" w:rsidRDefault="0095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2" w:rsidRDefault="00953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2" w:rsidRDefault="00953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A2" w:rsidRDefault="00953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C8F"/>
    <w:multiLevelType w:val="hybridMultilevel"/>
    <w:tmpl w:val="3084B958"/>
    <w:lvl w:ilvl="0" w:tplc="DD84B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4D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CE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29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CA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26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B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83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84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46"/>
    <w:rsid w:val="00953DF2"/>
    <w:rsid w:val="00E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26BBEF-4CC8-44AF-8105-673E50E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1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1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15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51A"/>
    <w:rPr>
      <w:b/>
      <w:bCs/>
    </w:rPr>
  </w:style>
  <w:style w:type="paragraph" w:styleId="Revision">
    <w:name w:val="Revision"/>
    <w:hidden/>
    <w:uiPriority w:val="99"/>
    <w:semiHidden/>
    <w:rsid w:val="00515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2766</Characters>
  <Application>Microsoft Office Word</Application>
  <DocSecurity>4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HB00037 (Committee Report (Substituted))</vt:lpstr>
    </vt:vector>
  </TitlesOfParts>
  <Company>State of Texas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30160</dc:subject>
  <dc:creator>State of Texas</dc:creator>
  <dc:description>HB 37 by Minjarez-(H)Criminal Jurisprudence (Substitute Document Number: 86R 23953)</dc:description>
  <cp:lastModifiedBy>Laura Ramsay</cp:lastModifiedBy>
  <cp:revision>2</cp:revision>
  <cp:lastPrinted>2018-12-17T22:42:00Z</cp:lastPrinted>
  <dcterms:created xsi:type="dcterms:W3CDTF">2019-05-01T01:05:00Z</dcterms:created>
  <dcterms:modified xsi:type="dcterms:W3CDTF">2019-05-01T01:05:00Z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19.117.222</vt:lpwstr>
  </property>
</Properties>
</file>