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741B02" w:rsidTr="00345119">
        <w:tc>
          <w:tcPr>
            <w:tcW w:w="9576" w:type="dxa"/>
            <w:noWrap/>
          </w:tcPr>
          <w:p w:rsidR="008423E4" w:rsidRPr="0022177D" w:rsidRDefault="00E1784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17843" w:rsidP="008423E4">
      <w:pPr>
        <w:jc w:val="center"/>
      </w:pPr>
    </w:p>
    <w:p w:rsidR="008423E4" w:rsidRPr="00B31F0E" w:rsidRDefault="00E17843" w:rsidP="008423E4"/>
    <w:p w:rsidR="008423E4" w:rsidRPr="00742794" w:rsidRDefault="00E1784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41B02" w:rsidTr="00345119">
        <w:tc>
          <w:tcPr>
            <w:tcW w:w="9576" w:type="dxa"/>
          </w:tcPr>
          <w:p w:rsidR="008423E4" w:rsidRPr="00861995" w:rsidRDefault="00E17843" w:rsidP="00345119">
            <w:pPr>
              <w:jc w:val="right"/>
            </w:pPr>
            <w:r>
              <w:t>C.S.H.B. 52</w:t>
            </w:r>
          </w:p>
        </w:tc>
      </w:tr>
      <w:tr w:rsidR="00741B02" w:rsidTr="00345119">
        <w:tc>
          <w:tcPr>
            <w:tcW w:w="9576" w:type="dxa"/>
          </w:tcPr>
          <w:p w:rsidR="008423E4" w:rsidRPr="00861995" w:rsidRDefault="00E17843" w:rsidP="00FF307F">
            <w:pPr>
              <w:jc w:val="right"/>
            </w:pPr>
            <w:r>
              <w:t xml:space="preserve">By: </w:t>
            </w:r>
            <w:r>
              <w:t>Hinojosa</w:t>
            </w:r>
          </w:p>
        </w:tc>
      </w:tr>
      <w:tr w:rsidR="00741B02" w:rsidTr="00345119">
        <w:tc>
          <w:tcPr>
            <w:tcW w:w="9576" w:type="dxa"/>
          </w:tcPr>
          <w:p w:rsidR="008423E4" w:rsidRPr="00861995" w:rsidRDefault="00E17843" w:rsidP="00345119">
            <w:pPr>
              <w:jc w:val="right"/>
            </w:pPr>
            <w:r>
              <w:t>Ways &amp; Means</w:t>
            </w:r>
          </w:p>
        </w:tc>
      </w:tr>
      <w:tr w:rsidR="00741B02" w:rsidTr="00345119">
        <w:tc>
          <w:tcPr>
            <w:tcW w:w="9576" w:type="dxa"/>
          </w:tcPr>
          <w:p w:rsidR="008423E4" w:rsidRDefault="00E17843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E17843" w:rsidP="008423E4">
      <w:pPr>
        <w:tabs>
          <w:tab w:val="right" w:pos="9360"/>
        </w:tabs>
      </w:pPr>
    </w:p>
    <w:p w:rsidR="008423E4" w:rsidRDefault="00E17843" w:rsidP="008423E4"/>
    <w:p w:rsidR="008423E4" w:rsidRDefault="00E1784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741B02" w:rsidTr="00345119">
        <w:tc>
          <w:tcPr>
            <w:tcW w:w="9576" w:type="dxa"/>
          </w:tcPr>
          <w:p w:rsidR="008423E4" w:rsidRPr="00A8133F" w:rsidRDefault="00E17843" w:rsidP="002C576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17843" w:rsidP="002C5762"/>
          <w:p w:rsidR="008423E4" w:rsidRDefault="00E17843" w:rsidP="002C5762">
            <w:pPr>
              <w:pStyle w:val="Header"/>
              <w:jc w:val="both"/>
            </w:pPr>
            <w:r>
              <w:t>It has been asserted that</w:t>
            </w:r>
            <w:r>
              <w:t xml:space="preserve"> </w:t>
            </w:r>
            <w:r>
              <w:t>t</w:t>
            </w:r>
            <w:r>
              <w:t>h</w:t>
            </w:r>
            <w:r>
              <w:t>e</w:t>
            </w:r>
            <w:r>
              <w:t xml:space="preserve"> cost</w:t>
            </w:r>
            <w:r>
              <w:t>s</w:t>
            </w:r>
            <w:r>
              <w:t xml:space="preserve"> </w:t>
            </w:r>
            <w:r>
              <w:t xml:space="preserve">associated with child care </w:t>
            </w:r>
            <w:r>
              <w:t>place a tremendous burden on families</w:t>
            </w:r>
            <w:r>
              <w:t xml:space="preserve"> across Texas</w:t>
            </w:r>
            <w:r>
              <w:t xml:space="preserve">. </w:t>
            </w:r>
            <w:r>
              <w:t>There are suggestions</w:t>
            </w:r>
            <w:r>
              <w:t xml:space="preserve"> that o</w:t>
            </w:r>
            <w:r>
              <w:t xml:space="preserve">ne option </w:t>
            </w:r>
            <w:r>
              <w:t xml:space="preserve">for </w:t>
            </w:r>
            <w:r>
              <w:t>address</w:t>
            </w:r>
            <w:r>
              <w:t>ing</w:t>
            </w:r>
            <w:r>
              <w:t xml:space="preserve"> these rising child</w:t>
            </w:r>
            <w:r>
              <w:noBreakHyphen/>
            </w:r>
            <w:r>
              <w:t xml:space="preserve">care costs is </w:t>
            </w:r>
            <w:r>
              <w:t>d</w:t>
            </w:r>
            <w:r>
              <w:t xml:space="preserve">ependent </w:t>
            </w:r>
            <w:r>
              <w:t>c</w:t>
            </w:r>
            <w:r>
              <w:t xml:space="preserve">are </w:t>
            </w:r>
            <w:r>
              <w:t>f</w:t>
            </w:r>
            <w:r>
              <w:t xml:space="preserve">lexible </w:t>
            </w:r>
            <w:r>
              <w:t>s</w:t>
            </w:r>
            <w:r>
              <w:t xml:space="preserve">pending </w:t>
            </w:r>
            <w:r>
              <w:t>a</w:t>
            </w:r>
            <w:r>
              <w:t>ccount</w:t>
            </w:r>
            <w:r>
              <w:t>s</w:t>
            </w:r>
            <w:r>
              <w:t xml:space="preserve">, which allow an employer and employee to contribute </w:t>
            </w:r>
            <w:r>
              <w:t xml:space="preserve">money </w:t>
            </w:r>
            <w:r>
              <w:t>into a tax</w:t>
            </w:r>
            <w:r>
              <w:t>-</w:t>
            </w:r>
            <w:r>
              <w:t xml:space="preserve">free account.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52 seeks to incentivize employer contributions to </w:t>
            </w:r>
            <w:r>
              <w:t>these</w:t>
            </w:r>
            <w:r>
              <w:t xml:space="preserve"> </w:t>
            </w:r>
            <w:r>
              <w:t>a</w:t>
            </w:r>
            <w:r>
              <w:t>ccounts</w:t>
            </w:r>
            <w:r>
              <w:t xml:space="preserve"> through the establishment of a pilot program to provide franchise tax credits to qualifying employers who make such contributions for certain employees.</w:t>
            </w:r>
          </w:p>
          <w:p w:rsidR="008423E4" w:rsidRPr="00E26B13" w:rsidRDefault="00E17843" w:rsidP="002C5762">
            <w:pPr>
              <w:rPr>
                <w:b/>
              </w:rPr>
            </w:pPr>
          </w:p>
        </w:tc>
      </w:tr>
      <w:tr w:rsidR="00741B02" w:rsidTr="00345119">
        <w:tc>
          <w:tcPr>
            <w:tcW w:w="9576" w:type="dxa"/>
          </w:tcPr>
          <w:p w:rsidR="0017725B" w:rsidRDefault="00E17843" w:rsidP="002C576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17843" w:rsidP="002C5762">
            <w:pPr>
              <w:rPr>
                <w:b/>
                <w:u w:val="single"/>
              </w:rPr>
            </w:pPr>
          </w:p>
          <w:p w:rsidR="00326421" w:rsidRPr="00326421" w:rsidRDefault="00E17843" w:rsidP="002C5762">
            <w:pPr>
              <w:jc w:val="both"/>
            </w:pPr>
            <w:r>
              <w:t xml:space="preserve">It is the committee's opinion that this bill does not expressly </w:t>
            </w:r>
            <w:r>
              <w:t>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E17843" w:rsidP="002C5762">
            <w:pPr>
              <w:rPr>
                <w:b/>
                <w:u w:val="single"/>
              </w:rPr>
            </w:pPr>
          </w:p>
        </w:tc>
      </w:tr>
      <w:tr w:rsidR="00741B02" w:rsidTr="00345119">
        <w:tc>
          <w:tcPr>
            <w:tcW w:w="9576" w:type="dxa"/>
          </w:tcPr>
          <w:p w:rsidR="008423E4" w:rsidRPr="00A8133F" w:rsidRDefault="00E17843" w:rsidP="002C576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17843" w:rsidP="002C5762"/>
          <w:p w:rsidR="00326421" w:rsidRDefault="00E17843" w:rsidP="002C57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</w:t>
            </w:r>
            <w:r>
              <w:t>opinion that this bill does not expressly grant any additional rulemaking authority to a state officer, department, agency, or institution.</w:t>
            </w:r>
          </w:p>
          <w:p w:rsidR="008423E4" w:rsidRPr="00E21FDC" w:rsidRDefault="00E17843" w:rsidP="002C5762">
            <w:pPr>
              <w:rPr>
                <w:b/>
              </w:rPr>
            </w:pPr>
          </w:p>
        </w:tc>
      </w:tr>
      <w:tr w:rsidR="00741B02" w:rsidTr="00345119">
        <w:tc>
          <w:tcPr>
            <w:tcW w:w="9576" w:type="dxa"/>
          </w:tcPr>
          <w:p w:rsidR="008423E4" w:rsidRDefault="00E17843" w:rsidP="002C576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B7B5B" w:rsidRPr="001E2BDD" w:rsidRDefault="00E17843" w:rsidP="002C5762">
            <w:pPr>
              <w:rPr>
                <w:b/>
              </w:rPr>
            </w:pPr>
          </w:p>
          <w:p w:rsidR="004B77EE" w:rsidRDefault="00E17843" w:rsidP="002C5762">
            <w:pPr>
              <w:pStyle w:val="Header"/>
              <w:jc w:val="both"/>
            </w:pPr>
            <w:r w:rsidRPr="001E2BDD">
              <w:t>C.S.</w:t>
            </w:r>
            <w:r>
              <w:t xml:space="preserve">H.B. </w:t>
            </w:r>
            <w:r>
              <w:t>52</w:t>
            </w:r>
            <w:r>
              <w:t xml:space="preserve"> amends the Tax Code to establish a pilot program under which a taxable entity </w:t>
            </w:r>
            <w:r>
              <w:t>that has an a</w:t>
            </w:r>
            <w:r>
              <w:t xml:space="preserve">verage of </w:t>
            </w:r>
            <w:r>
              <w:t>not more than 500 employees</w:t>
            </w:r>
            <w:r>
              <w:t xml:space="preserve"> during the period on which a franchise tax report is based</w:t>
            </w:r>
            <w:r>
              <w:t xml:space="preserve"> is ent</w:t>
            </w:r>
            <w:r>
              <w:t>itled to a franchise tax credit</w:t>
            </w:r>
            <w:r>
              <w:t xml:space="preserve"> for contributions made to the dependent care flexible spending account of each </w:t>
            </w:r>
            <w:r>
              <w:t xml:space="preserve">of the entity's </w:t>
            </w:r>
            <w:r>
              <w:t>employee</w:t>
            </w:r>
            <w:r>
              <w:t>s</w:t>
            </w:r>
            <w:r>
              <w:t xml:space="preserve"> who </w:t>
            </w:r>
            <w:r>
              <w:t>maintains su</w:t>
            </w:r>
            <w:r>
              <w:t xml:space="preserve">ch an account and </w:t>
            </w:r>
            <w:r>
              <w:t>receives from the entity an annual salary o</w:t>
            </w:r>
            <w:r>
              <w:t>r wage of not more than $65,000</w:t>
            </w:r>
            <w:r>
              <w:t xml:space="preserve">. </w:t>
            </w:r>
            <w:r>
              <w:t>A</w:t>
            </w:r>
            <w:r>
              <w:t xml:space="preserve"> </w:t>
            </w:r>
            <w:r w:rsidRPr="005A5F12">
              <w:t xml:space="preserve">combined group </w:t>
            </w:r>
            <w:r>
              <w:t>qualifies</w:t>
            </w:r>
            <w:r w:rsidRPr="005A5F12">
              <w:t xml:space="preserve"> for </w:t>
            </w:r>
            <w:r>
              <w:t xml:space="preserve">such </w:t>
            </w:r>
            <w:r w:rsidRPr="005A5F12">
              <w:t xml:space="preserve">a credit in connection with any member of the group that satisfies the </w:t>
            </w:r>
            <w:r>
              <w:t xml:space="preserve">employer </w:t>
            </w:r>
            <w:r w:rsidRPr="005A5F12">
              <w:t>requirements.</w:t>
            </w:r>
            <w:r>
              <w:t xml:space="preserve"> </w:t>
            </w:r>
            <w:r>
              <w:t>The bill defines "dependent care</w:t>
            </w:r>
            <w:r>
              <w:t xml:space="preserve"> flexible spending account" as a pretax benefit account used to pay eligible dependent care services as authorized by </w:t>
            </w:r>
            <w:r>
              <w:t xml:space="preserve">the </w:t>
            </w:r>
            <w:r>
              <w:t xml:space="preserve">federal </w:t>
            </w:r>
            <w:r>
              <w:t>Internal Revenue Code</w:t>
            </w:r>
            <w:r>
              <w:t xml:space="preserve"> of 1986</w:t>
            </w:r>
            <w:r>
              <w:t>,</w:t>
            </w:r>
            <w:r>
              <w:t xml:space="preserve"> as effective on January 1, 2019. </w:t>
            </w:r>
          </w:p>
          <w:p w:rsidR="004B77EE" w:rsidRDefault="00E17843" w:rsidP="002C5762">
            <w:pPr>
              <w:pStyle w:val="Header"/>
              <w:jc w:val="both"/>
            </w:pPr>
          </w:p>
          <w:p w:rsidR="004B77EE" w:rsidRDefault="00E17843" w:rsidP="002C5762">
            <w:pPr>
              <w:pStyle w:val="Header"/>
              <w:jc w:val="both"/>
            </w:pPr>
            <w:r w:rsidRPr="001E2BDD">
              <w:t>C.S.</w:t>
            </w:r>
            <w:r>
              <w:t>H.B. 52</w:t>
            </w:r>
            <w:r>
              <w:t xml:space="preserve"> sets the amount of the credit</w:t>
            </w:r>
            <w:r>
              <w:t xml:space="preserve"> for a report in connection with each applicable employee at the lesser of 50 percent of the contributions made by the taxable entity to the employee's dependent care flexible spending account</w:t>
            </w:r>
            <w:r>
              <w:t xml:space="preserve">, </w:t>
            </w:r>
            <w:r w:rsidRPr="00956262">
              <w:t>excluding any portion of a contribution returned to the entity</w:t>
            </w:r>
            <w:r>
              <w:t>,</w:t>
            </w:r>
            <w:r>
              <w:t xml:space="preserve"> or $2,500. The bill sets the total amount of the credit for each report at the lesser of the total of the credits allowed for a report in connection with each employee for the reporting period for all employees or the amount of franchise tax due after ap</w:t>
            </w:r>
            <w:r>
              <w:t xml:space="preserve">plying all other applicable credits. </w:t>
            </w:r>
            <w:r>
              <w:t>The bill requires the comptroller</w:t>
            </w:r>
            <w:r>
              <w:t xml:space="preserve"> of public accounts</w:t>
            </w:r>
            <w:r>
              <w:t xml:space="preserve"> </w:t>
            </w:r>
            <w:r w:rsidRPr="005A5F12">
              <w:t xml:space="preserve">to deposit to the credit of the property tax relief fund </w:t>
            </w:r>
            <w:r>
              <w:t xml:space="preserve">each fiscal year </w:t>
            </w:r>
            <w:r w:rsidRPr="005A5F12">
              <w:t>an amount of revenue received from the franchise tax sufficient to offset any decrease in de</w:t>
            </w:r>
            <w:r w:rsidRPr="005A5F12">
              <w:t>posits to that fund that results from the implementation of the</w:t>
            </w:r>
            <w:r>
              <w:t xml:space="preserve"> credit</w:t>
            </w:r>
            <w:r w:rsidRPr="005A5F12">
              <w:t>.</w:t>
            </w:r>
          </w:p>
          <w:p w:rsidR="004B77EE" w:rsidRDefault="00E17843" w:rsidP="002C5762">
            <w:pPr>
              <w:pStyle w:val="Header"/>
              <w:jc w:val="both"/>
            </w:pPr>
          </w:p>
          <w:p w:rsidR="003A0C4E" w:rsidRDefault="00E17843" w:rsidP="002C5762">
            <w:pPr>
              <w:pStyle w:val="Header"/>
              <w:jc w:val="both"/>
            </w:pPr>
            <w:r w:rsidRPr="001E2BDD">
              <w:t>C.S.</w:t>
            </w:r>
            <w:r>
              <w:t>H.B. 52</w:t>
            </w:r>
            <w:r>
              <w:t xml:space="preserve"> </w:t>
            </w:r>
            <w:r>
              <w:t xml:space="preserve">requires a taxable entity to apply for </w:t>
            </w:r>
            <w:r>
              <w:t xml:space="preserve">a </w:t>
            </w:r>
            <w:r>
              <w:t xml:space="preserve">credit </w:t>
            </w:r>
            <w:r>
              <w:t xml:space="preserve">under the </w:t>
            </w:r>
            <w:r>
              <w:t>pilot program</w:t>
            </w:r>
            <w:r>
              <w:t xml:space="preserve"> </w:t>
            </w:r>
            <w:r>
              <w:t xml:space="preserve">on or with the tax report for the period for which the credit is claimed </w:t>
            </w:r>
            <w:r>
              <w:t xml:space="preserve">and </w:t>
            </w:r>
            <w:r>
              <w:t>limits</w:t>
            </w:r>
            <w:r w:rsidRPr="002C659F">
              <w:t xml:space="preserve"> </w:t>
            </w:r>
            <w:r w:rsidRPr="002C659F">
              <w:t>the reports for</w:t>
            </w:r>
            <w:r w:rsidRPr="002C659F">
              <w:t xml:space="preserve"> which an entity may claim </w:t>
            </w:r>
            <w:r>
              <w:t>a</w:t>
            </w:r>
            <w:r w:rsidRPr="002C659F">
              <w:t xml:space="preserve"> credit to a report </w:t>
            </w:r>
            <w:r>
              <w:t>originally due on or after January 1, 20</w:t>
            </w:r>
            <w:r>
              <w:t>2</w:t>
            </w:r>
            <w:r>
              <w:t>0,</w:t>
            </w:r>
            <w:r>
              <w:t xml:space="preserve"> and before January 1, 2023,</w:t>
            </w:r>
            <w:r>
              <w:t xml:space="preserve"> </w:t>
            </w:r>
            <w:r w:rsidRPr="002C659F">
              <w:t xml:space="preserve">in connection with contributions made </w:t>
            </w:r>
            <w:r>
              <w:t>on or after September 1, 2019</w:t>
            </w:r>
            <w:r>
              <w:t xml:space="preserve">, </w:t>
            </w:r>
            <w:r>
              <w:t>and</w:t>
            </w:r>
            <w:r>
              <w:t xml:space="preserve"> before January 1, 2022</w:t>
            </w:r>
            <w:r>
              <w:t xml:space="preserve">, </w:t>
            </w:r>
            <w:r w:rsidRPr="002C659F">
              <w:t>during the accounting period on which t</w:t>
            </w:r>
            <w:r w:rsidRPr="002C659F">
              <w:t>he report is based</w:t>
            </w:r>
            <w:r>
              <w:t xml:space="preserve">. The bill </w:t>
            </w:r>
            <w:r>
              <w:t xml:space="preserve">requires the comptroller to promulgate a form for the application for </w:t>
            </w:r>
            <w:r>
              <w:t xml:space="preserve">such a </w:t>
            </w:r>
            <w:r>
              <w:t>credit</w:t>
            </w:r>
            <w:r>
              <w:t xml:space="preserve"> and requires</w:t>
            </w:r>
            <w:r>
              <w:t xml:space="preserve"> a taxabl</w:t>
            </w:r>
            <w:r>
              <w:t xml:space="preserve">e entity </w:t>
            </w:r>
            <w:r>
              <w:t xml:space="preserve">to </w:t>
            </w:r>
            <w:r>
              <w:t xml:space="preserve">use </w:t>
            </w:r>
            <w:r>
              <w:t xml:space="preserve">that form </w:t>
            </w:r>
            <w:r>
              <w:t>in applying</w:t>
            </w:r>
            <w:r>
              <w:t xml:space="preserve"> for the credit</w:t>
            </w:r>
            <w:r>
              <w:t xml:space="preserve">. </w:t>
            </w:r>
            <w:r>
              <w:t xml:space="preserve">The pilot program </w:t>
            </w:r>
            <w:r>
              <w:t xml:space="preserve">and the bill's provisions </w:t>
            </w:r>
            <w:r>
              <w:t>expire December 31, 2021</w:t>
            </w:r>
            <w:r>
              <w:t xml:space="preserve">.  </w:t>
            </w:r>
          </w:p>
          <w:p w:rsidR="003A0C4E" w:rsidRDefault="00E17843" w:rsidP="002C5762">
            <w:pPr>
              <w:pStyle w:val="Header"/>
              <w:jc w:val="both"/>
            </w:pPr>
          </w:p>
          <w:p w:rsidR="008423E4" w:rsidRDefault="00E17843" w:rsidP="002C57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E2BDD">
              <w:t>C.S.</w:t>
            </w:r>
            <w:r>
              <w:t xml:space="preserve">H.B. </w:t>
            </w:r>
            <w:r>
              <w:t>52</w:t>
            </w:r>
            <w:r>
              <w:t xml:space="preserve"> requires the comptroller, </w:t>
            </w:r>
            <w:r>
              <w:t>not later than September 1, 2022</w:t>
            </w:r>
            <w:r>
              <w:t>, to prepare and deliver to the governor, the lieutenant governor, the speaker of the house of representatives, and the presiding officer of each legislative standing committee with</w:t>
            </w:r>
            <w:r>
              <w:t xml:space="preserve"> primary jurisdiction over taxation a report that evaluates the pilot program</w:t>
            </w:r>
            <w:r>
              <w:t>'s effect</w:t>
            </w:r>
            <w:r>
              <w:t xml:space="preserve"> on employer contributions to employees' dependent care flexible spending accounts for which credits are granted under the pilot program and requires the report to includ</w:t>
            </w:r>
            <w:r>
              <w:t xml:space="preserve">e a recommendation regarding whether the credit allowed under the pilot program should be reestablished. The bill requires a taxable entity that claims </w:t>
            </w:r>
            <w:r>
              <w:t xml:space="preserve">such </w:t>
            </w:r>
            <w:r>
              <w:t>a credit to provide to the comptroller information the comptroller requests to prepare the report.</w:t>
            </w:r>
          </w:p>
          <w:p w:rsidR="008423E4" w:rsidRPr="00835628" w:rsidRDefault="00E17843" w:rsidP="002C5762">
            <w:pPr>
              <w:rPr>
                <w:b/>
              </w:rPr>
            </w:pPr>
          </w:p>
        </w:tc>
      </w:tr>
      <w:tr w:rsidR="00741B02" w:rsidTr="00345119">
        <w:tc>
          <w:tcPr>
            <w:tcW w:w="9576" w:type="dxa"/>
          </w:tcPr>
          <w:p w:rsidR="008423E4" w:rsidRPr="00A8133F" w:rsidRDefault="00E17843" w:rsidP="002C576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17843" w:rsidP="002C5762"/>
          <w:p w:rsidR="008423E4" w:rsidRPr="003624F2" w:rsidRDefault="00E17843" w:rsidP="002C57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E17843" w:rsidP="002C5762">
            <w:pPr>
              <w:rPr>
                <w:b/>
              </w:rPr>
            </w:pPr>
          </w:p>
        </w:tc>
      </w:tr>
      <w:tr w:rsidR="00741B02" w:rsidTr="00345119">
        <w:tc>
          <w:tcPr>
            <w:tcW w:w="9576" w:type="dxa"/>
          </w:tcPr>
          <w:p w:rsidR="001E2BDD" w:rsidRDefault="00E17843" w:rsidP="002C576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8B7B5B" w:rsidRPr="001E2BDD" w:rsidRDefault="00E17843" w:rsidP="002C5762">
            <w:pPr>
              <w:jc w:val="both"/>
              <w:rPr>
                <w:b/>
                <w:u w:val="single"/>
              </w:rPr>
            </w:pPr>
          </w:p>
          <w:p w:rsidR="001E2BDD" w:rsidRDefault="00E17843" w:rsidP="002C5762">
            <w:pPr>
              <w:jc w:val="both"/>
            </w:pPr>
            <w:r>
              <w:t xml:space="preserve">While C.S.H.B. 52 may differ from the original in minor or nonsubstantive ways, the following summarizes the substantial differences between the introduced and committee </w:t>
            </w:r>
            <w:r>
              <w:t>substitute versions of the bill.</w:t>
            </w:r>
          </w:p>
          <w:p w:rsidR="001E2BDD" w:rsidRDefault="00E17843" w:rsidP="002C5762">
            <w:pPr>
              <w:jc w:val="both"/>
            </w:pPr>
          </w:p>
          <w:p w:rsidR="00833F61" w:rsidRDefault="00E17843" w:rsidP="002C5762">
            <w:pPr>
              <w:jc w:val="both"/>
            </w:pPr>
            <w:r>
              <w:t>The substitute revises the qualifications to receive the franchise tax credit by:</w:t>
            </w:r>
          </w:p>
          <w:p w:rsidR="00833F61" w:rsidRDefault="00E17843" w:rsidP="002C5762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clarifying that the 500 employee cap applies with respect to the period on which the applicable franchise tax report is based and is </w:t>
            </w:r>
            <w:r>
              <w:t>based o</w:t>
            </w:r>
            <w:r>
              <w:t xml:space="preserve">n </w:t>
            </w:r>
            <w:r>
              <w:t>an average of 500 employees; and</w:t>
            </w:r>
          </w:p>
          <w:p w:rsidR="00833F61" w:rsidRDefault="00E17843" w:rsidP="002C5762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clarifying that the contributions to the </w:t>
            </w:r>
            <w:r>
              <w:t xml:space="preserve">dependent care </w:t>
            </w:r>
            <w:r>
              <w:t>flexible spending accounts need only be made to employees who maintain such an account.</w:t>
            </w:r>
          </w:p>
          <w:p w:rsidR="00833F61" w:rsidRDefault="00E17843" w:rsidP="002C5762">
            <w:pPr>
              <w:jc w:val="both"/>
            </w:pPr>
          </w:p>
          <w:p w:rsidR="00956262" w:rsidRDefault="00E17843" w:rsidP="002C5762">
            <w:pPr>
              <w:jc w:val="both"/>
            </w:pPr>
            <w:r>
              <w:t xml:space="preserve">The substitute includes </w:t>
            </w:r>
            <w:r>
              <w:t xml:space="preserve">a provision </w:t>
            </w:r>
            <w:r>
              <w:t>providing for the qualification of</w:t>
            </w:r>
            <w:r>
              <w:t xml:space="preserve"> a</w:t>
            </w:r>
            <w:r w:rsidRPr="001E2BDD">
              <w:t xml:space="preserve"> com</w:t>
            </w:r>
            <w:r w:rsidRPr="001E2BDD">
              <w:t xml:space="preserve">bined group for </w:t>
            </w:r>
            <w:r>
              <w:t>the</w:t>
            </w:r>
            <w:r w:rsidRPr="001E2BDD">
              <w:t xml:space="preserve"> </w:t>
            </w:r>
            <w:r>
              <w:t xml:space="preserve">tax </w:t>
            </w:r>
            <w:r w:rsidRPr="001E2BDD">
              <w:t>credit</w:t>
            </w:r>
            <w:r>
              <w:t>.</w:t>
            </w:r>
          </w:p>
          <w:p w:rsidR="00BA3B0B" w:rsidRDefault="00E17843" w:rsidP="002C5762">
            <w:pPr>
              <w:jc w:val="both"/>
            </w:pPr>
          </w:p>
          <w:p w:rsidR="00BA3B0B" w:rsidRDefault="00E17843" w:rsidP="002C5762">
            <w:pPr>
              <w:jc w:val="both"/>
            </w:pPr>
            <w:r>
              <w:t>The substitute excludes</w:t>
            </w:r>
            <w:r>
              <w:t xml:space="preserve"> any portion of a contribution made to a dependent care flexible spending account that is returned to the taxable entity making the contribution from the calculation of the amount of the franchise tax credit.</w:t>
            </w:r>
          </w:p>
          <w:p w:rsidR="00CF2B03" w:rsidRDefault="00E17843" w:rsidP="002C5762">
            <w:pPr>
              <w:jc w:val="both"/>
            </w:pPr>
          </w:p>
          <w:p w:rsidR="00956262" w:rsidRDefault="00E17843" w:rsidP="002C5762">
            <w:pPr>
              <w:jc w:val="both"/>
            </w:pPr>
            <w:r>
              <w:t xml:space="preserve">The substitute includes a requirement for the </w:t>
            </w:r>
            <w:r>
              <w:t xml:space="preserve">comptroller to </w:t>
            </w:r>
            <w:r w:rsidRPr="00956262">
              <w:t xml:space="preserve">deposit to the credit of the property tax relief fund an amount of revenue received from the </w:t>
            </w:r>
            <w:r>
              <w:t xml:space="preserve">franchise </w:t>
            </w:r>
            <w:r w:rsidRPr="00956262">
              <w:t>tax sufficient to offset any decrease in deposits to that fund that results</w:t>
            </w:r>
            <w:r>
              <w:t xml:space="preserve"> from the implementation of the </w:t>
            </w:r>
            <w:r>
              <w:t>franchise tax credit</w:t>
            </w:r>
            <w:r w:rsidRPr="00956262">
              <w:t>.</w:t>
            </w:r>
          </w:p>
          <w:p w:rsidR="000A1740" w:rsidRDefault="00E17843" w:rsidP="002C5762">
            <w:pPr>
              <w:jc w:val="both"/>
            </w:pPr>
          </w:p>
          <w:p w:rsidR="000A1740" w:rsidRDefault="00E17843" w:rsidP="002C5762">
            <w:pPr>
              <w:jc w:val="both"/>
            </w:pPr>
            <w:r>
              <w:t>The subs</w:t>
            </w:r>
            <w:r>
              <w:t xml:space="preserve">titute </w:t>
            </w:r>
            <w:r>
              <w:t xml:space="preserve">limits the period during which contributions qualify a taxable entity to </w:t>
            </w:r>
            <w:r>
              <w:t xml:space="preserve">the </w:t>
            </w:r>
            <w:r>
              <w:t>franchise tax</w:t>
            </w:r>
            <w:r w:rsidRPr="000A1740">
              <w:t xml:space="preserve"> credit </w:t>
            </w:r>
            <w:r>
              <w:t>to</w:t>
            </w:r>
            <w:r w:rsidRPr="000A1740">
              <w:t xml:space="preserve"> </w:t>
            </w:r>
            <w:r w:rsidRPr="000A1740">
              <w:t xml:space="preserve">contributions made </w:t>
            </w:r>
            <w:r>
              <w:t>before January 1, 2022</w:t>
            </w:r>
            <w:r>
              <w:t>,</w:t>
            </w:r>
            <w:r>
              <w:t xml:space="preserve"> and provides that the last report on which the credit made be claimed is one due before January 1, 2023. </w:t>
            </w:r>
          </w:p>
          <w:p w:rsidR="001E2BDD" w:rsidRPr="001E2BDD" w:rsidRDefault="00E17843" w:rsidP="002C5762">
            <w:pPr>
              <w:jc w:val="both"/>
            </w:pPr>
          </w:p>
        </w:tc>
      </w:tr>
    </w:tbl>
    <w:p w:rsidR="008423E4" w:rsidRPr="00BE0E75" w:rsidRDefault="00E17843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1784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7843">
      <w:r>
        <w:separator/>
      </w:r>
    </w:p>
  </w:endnote>
  <w:endnote w:type="continuationSeparator" w:id="0">
    <w:p w:rsidR="00000000" w:rsidRDefault="00E1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17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41B02" w:rsidTr="009C1E9A">
      <w:trPr>
        <w:cantSplit/>
      </w:trPr>
      <w:tc>
        <w:tcPr>
          <w:tcW w:w="0" w:type="pct"/>
        </w:tcPr>
        <w:p w:rsidR="00137D90" w:rsidRDefault="00E1784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1784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1784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1784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1784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1B02" w:rsidTr="009C1E9A">
      <w:trPr>
        <w:cantSplit/>
      </w:trPr>
      <w:tc>
        <w:tcPr>
          <w:tcW w:w="0" w:type="pct"/>
        </w:tcPr>
        <w:p w:rsidR="00EC379B" w:rsidRDefault="00E1784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1784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29785</w:t>
          </w:r>
        </w:p>
      </w:tc>
      <w:tc>
        <w:tcPr>
          <w:tcW w:w="2453" w:type="pct"/>
        </w:tcPr>
        <w:p w:rsidR="00EC379B" w:rsidRDefault="00E1784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19.115.731</w:t>
          </w:r>
          <w:r>
            <w:fldChar w:fldCharType="end"/>
          </w:r>
        </w:p>
      </w:tc>
    </w:tr>
    <w:tr w:rsidR="00741B02" w:rsidTr="009C1E9A">
      <w:trPr>
        <w:cantSplit/>
      </w:trPr>
      <w:tc>
        <w:tcPr>
          <w:tcW w:w="0" w:type="pct"/>
        </w:tcPr>
        <w:p w:rsidR="00EC379B" w:rsidRDefault="00E1784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1784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23635</w:t>
          </w:r>
        </w:p>
      </w:tc>
      <w:tc>
        <w:tcPr>
          <w:tcW w:w="2453" w:type="pct"/>
        </w:tcPr>
        <w:p w:rsidR="00EC379B" w:rsidRDefault="00E17843" w:rsidP="006D504F">
          <w:pPr>
            <w:pStyle w:val="Footer"/>
            <w:rPr>
              <w:rStyle w:val="PageNumber"/>
            </w:rPr>
          </w:pPr>
        </w:p>
        <w:p w:rsidR="00EC379B" w:rsidRDefault="00E1784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1B02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1784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E1784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1784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17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7843">
      <w:r>
        <w:separator/>
      </w:r>
    </w:p>
  </w:footnote>
  <w:footnote w:type="continuationSeparator" w:id="0">
    <w:p w:rsidR="00000000" w:rsidRDefault="00E1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17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17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17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10FAF"/>
    <w:multiLevelType w:val="hybridMultilevel"/>
    <w:tmpl w:val="DE26F668"/>
    <w:lvl w:ilvl="0" w:tplc="2702E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0D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86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81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4F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EB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86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2F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AE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1E56"/>
    <w:multiLevelType w:val="hybridMultilevel"/>
    <w:tmpl w:val="E5D262A0"/>
    <w:lvl w:ilvl="0" w:tplc="D4B23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9EF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E0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6E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C3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7E4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0F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E1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AD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02"/>
    <w:rsid w:val="00741B02"/>
    <w:rsid w:val="00E1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359108-C317-4845-B924-97D9C860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B26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2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26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2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26F0"/>
    <w:rPr>
      <w:b/>
      <w:bCs/>
    </w:rPr>
  </w:style>
  <w:style w:type="paragraph" w:styleId="Revision">
    <w:name w:val="Revision"/>
    <w:hidden/>
    <w:uiPriority w:val="99"/>
    <w:semiHidden/>
    <w:rsid w:val="0005590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4929</Characters>
  <Application>Microsoft Office Word</Application>
  <DocSecurity>4</DocSecurity>
  <Lines>104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HB00052 (Committee Report (Substituted))</vt:lpstr>
    </vt:vector>
  </TitlesOfParts>
  <Company>State of Texas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29785</dc:subject>
  <dc:creator>State of Texas</dc:creator>
  <dc:description>HB 52 by Hinojosa-(H)Ways &amp; Means (Substitute Document Number: 86R 23635)</dc:description>
  <cp:lastModifiedBy>Scotty Wimberley</cp:lastModifiedBy>
  <cp:revision>2</cp:revision>
  <cp:lastPrinted>2003-11-26T17:21:00Z</cp:lastPrinted>
  <dcterms:created xsi:type="dcterms:W3CDTF">2019-04-28T20:14:00Z</dcterms:created>
  <dcterms:modified xsi:type="dcterms:W3CDTF">2019-04-28T20:14:00Z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19.115.731</vt:lpwstr>
  </property>
</Properties>
</file>