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77C54" w:rsidTr="00345119">
        <w:tc>
          <w:tcPr>
            <w:tcW w:w="9576" w:type="dxa"/>
            <w:noWrap/>
          </w:tcPr>
          <w:p w:rsidR="008423E4" w:rsidRPr="0022177D" w:rsidRDefault="004E2764" w:rsidP="00345119">
            <w:pPr>
              <w:pStyle w:val="Heading1"/>
            </w:pPr>
            <w:bookmarkStart w:id="0" w:name="_GoBack"/>
            <w:bookmarkEnd w:id="0"/>
            <w:r w:rsidRPr="00631897">
              <w:t>BILL ANALYSIS</w:t>
            </w:r>
          </w:p>
        </w:tc>
      </w:tr>
    </w:tbl>
    <w:p w:rsidR="008423E4" w:rsidRPr="0022177D" w:rsidRDefault="004E2764" w:rsidP="008423E4">
      <w:pPr>
        <w:jc w:val="center"/>
      </w:pPr>
    </w:p>
    <w:p w:rsidR="008423E4" w:rsidRPr="00B31F0E" w:rsidRDefault="004E2764" w:rsidP="008423E4"/>
    <w:p w:rsidR="008423E4" w:rsidRPr="00742794" w:rsidRDefault="004E2764" w:rsidP="008423E4">
      <w:pPr>
        <w:tabs>
          <w:tab w:val="right" w:pos="9360"/>
        </w:tabs>
      </w:pPr>
    </w:p>
    <w:tbl>
      <w:tblPr>
        <w:tblW w:w="0" w:type="auto"/>
        <w:tblLayout w:type="fixed"/>
        <w:tblLook w:val="01E0" w:firstRow="1" w:lastRow="1" w:firstColumn="1" w:lastColumn="1" w:noHBand="0" w:noVBand="0"/>
      </w:tblPr>
      <w:tblGrid>
        <w:gridCol w:w="9576"/>
      </w:tblGrid>
      <w:tr w:rsidR="00777C54" w:rsidTr="00345119">
        <w:tc>
          <w:tcPr>
            <w:tcW w:w="9576" w:type="dxa"/>
          </w:tcPr>
          <w:p w:rsidR="008423E4" w:rsidRPr="00861995" w:rsidRDefault="004E2764" w:rsidP="00345119">
            <w:pPr>
              <w:jc w:val="right"/>
            </w:pPr>
            <w:r>
              <w:t>C.S.H.B. 69</w:t>
            </w:r>
          </w:p>
        </w:tc>
      </w:tr>
      <w:tr w:rsidR="00777C54" w:rsidTr="00345119">
        <w:tc>
          <w:tcPr>
            <w:tcW w:w="9576" w:type="dxa"/>
          </w:tcPr>
          <w:p w:rsidR="008423E4" w:rsidRPr="00861995" w:rsidRDefault="004E2764" w:rsidP="000D7744">
            <w:pPr>
              <w:jc w:val="right"/>
            </w:pPr>
            <w:r>
              <w:t xml:space="preserve">By: </w:t>
            </w:r>
            <w:r>
              <w:t>Minjarez</w:t>
            </w:r>
          </w:p>
        </w:tc>
      </w:tr>
      <w:tr w:rsidR="00777C54" w:rsidTr="00345119">
        <w:tc>
          <w:tcPr>
            <w:tcW w:w="9576" w:type="dxa"/>
          </w:tcPr>
          <w:p w:rsidR="008423E4" w:rsidRPr="00861995" w:rsidRDefault="004E2764" w:rsidP="00345119">
            <w:pPr>
              <w:jc w:val="right"/>
            </w:pPr>
            <w:r>
              <w:t>Business &amp; Industry</w:t>
            </w:r>
          </w:p>
        </w:tc>
      </w:tr>
      <w:tr w:rsidR="00777C54" w:rsidTr="00345119">
        <w:tc>
          <w:tcPr>
            <w:tcW w:w="9576" w:type="dxa"/>
          </w:tcPr>
          <w:p w:rsidR="008423E4" w:rsidRDefault="004E2764" w:rsidP="00345119">
            <w:pPr>
              <w:jc w:val="right"/>
            </w:pPr>
            <w:r>
              <w:t>Committee Report (Substituted)</w:t>
            </w:r>
          </w:p>
        </w:tc>
      </w:tr>
    </w:tbl>
    <w:p w:rsidR="008423E4" w:rsidRDefault="004E2764" w:rsidP="008423E4">
      <w:pPr>
        <w:tabs>
          <w:tab w:val="right" w:pos="9360"/>
        </w:tabs>
      </w:pPr>
    </w:p>
    <w:p w:rsidR="008423E4" w:rsidRDefault="004E2764" w:rsidP="008423E4"/>
    <w:p w:rsidR="008423E4" w:rsidRDefault="004E2764" w:rsidP="008423E4"/>
    <w:tbl>
      <w:tblPr>
        <w:tblW w:w="0" w:type="auto"/>
        <w:tblCellMar>
          <w:left w:w="115" w:type="dxa"/>
          <w:right w:w="115" w:type="dxa"/>
        </w:tblCellMar>
        <w:tblLook w:val="01E0" w:firstRow="1" w:lastRow="1" w:firstColumn="1" w:lastColumn="1" w:noHBand="0" w:noVBand="0"/>
      </w:tblPr>
      <w:tblGrid>
        <w:gridCol w:w="9576"/>
      </w:tblGrid>
      <w:tr w:rsidR="00777C54" w:rsidTr="00345119">
        <w:tc>
          <w:tcPr>
            <w:tcW w:w="9576" w:type="dxa"/>
          </w:tcPr>
          <w:p w:rsidR="008423E4" w:rsidRPr="00A8133F" w:rsidRDefault="004E2764" w:rsidP="00BB0238">
            <w:pPr>
              <w:rPr>
                <w:b/>
              </w:rPr>
            </w:pPr>
            <w:r w:rsidRPr="009C1E9A">
              <w:rPr>
                <w:b/>
                <w:u w:val="single"/>
              </w:rPr>
              <w:t>BACKGROUND AND PURPOSE</w:t>
            </w:r>
            <w:r>
              <w:rPr>
                <w:b/>
              </w:rPr>
              <w:t xml:space="preserve"> </w:t>
            </w:r>
          </w:p>
          <w:p w:rsidR="008423E4" w:rsidRDefault="004E2764" w:rsidP="00BB0238"/>
          <w:p w:rsidR="008423E4" w:rsidRDefault="004E2764" w:rsidP="00BB0238">
            <w:pPr>
              <w:pStyle w:val="Header"/>
              <w:jc w:val="both"/>
            </w:pPr>
            <w:r>
              <w:t xml:space="preserve">It has been noted that, while residential leases may have protections in place in the event of </w:t>
            </w:r>
            <w:r>
              <w:t>a</w:t>
            </w:r>
            <w:r>
              <w:t xml:space="preserve"> tenant's death, current law does not mandate policies that prevent </w:t>
            </w:r>
            <w:r>
              <w:t xml:space="preserve">a tenant's surviving family from </w:t>
            </w:r>
            <w:r>
              <w:t xml:space="preserve">having to pay </w:t>
            </w:r>
            <w:r>
              <w:t xml:space="preserve">future </w:t>
            </w:r>
            <w:r>
              <w:t xml:space="preserve">rent or </w:t>
            </w:r>
            <w:r>
              <w:t>early termination fees</w:t>
            </w:r>
            <w:r>
              <w:t xml:space="preserve">. </w:t>
            </w:r>
            <w:r>
              <w:t>C.S.</w:t>
            </w:r>
            <w:r>
              <w:t>H.B.</w:t>
            </w:r>
            <w:r>
              <w:t xml:space="preserve"> 69 seeks to </w:t>
            </w:r>
            <w:r>
              <w:t>standardize such protections</w:t>
            </w:r>
            <w:r>
              <w:t xml:space="preserve"> by allowing a representative of the tenant</w:t>
            </w:r>
            <w:r>
              <w:t>'</w:t>
            </w:r>
            <w:r>
              <w:t xml:space="preserve">s estate </w:t>
            </w:r>
            <w:r>
              <w:t>to terminate the tenant's lease</w:t>
            </w:r>
            <w:r>
              <w:t xml:space="preserve"> </w:t>
            </w:r>
            <w:r>
              <w:t xml:space="preserve">after providing a 30-day notice and </w:t>
            </w:r>
            <w:r>
              <w:t>on vacating the property</w:t>
            </w:r>
            <w:r>
              <w:t>,</w:t>
            </w:r>
            <w:r>
              <w:t xml:space="preserve"> </w:t>
            </w:r>
            <w:r>
              <w:t>provided that</w:t>
            </w:r>
            <w:r>
              <w:t xml:space="preserve"> </w:t>
            </w:r>
            <w:r>
              <w:t>other lease obligations are met</w:t>
            </w:r>
            <w:r>
              <w:t xml:space="preserve">. </w:t>
            </w:r>
          </w:p>
          <w:p w:rsidR="008423E4" w:rsidRPr="00E26B13" w:rsidRDefault="004E2764" w:rsidP="00BB0238">
            <w:pPr>
              <w:rPr>
                <w:b/>
              </w:rPr>
            </w:pPr>
          </w:p>
        </w:tc>
      </w:tr>
      <w:tr w:rsidR="00777C54" w:rsidTr="00345119">
        <w:tc>
          <w:tcPr>
            <w:tcW w:w="9576" w:type="dxa"/>
          </w:tcPr>
          <w:p w:rsidR="0017725B" w:rsidRDefault="004E2764" w:rsidP="00BB0238">
            <w:pPr>
              <w:rPr>
                <w:b/>
                <w:u w:val="single"/>
              </w:rPr>
            </w:pPr>
            <w:r>
              <w:rPr>
                <w:b/>
                <w:u w:val="single"/>
              </w:rPr>
              <w:t>CRIMINAL JUSTICE IMPACT</w:t>
            </w:r>
          </w:p>
          <w:p w:rsidR="0017725B" w:rsidRDefault="004E2764" w:rsidP="00BB0238">
            <w:pPr>
              <w:rPr>
                <w:b/>
                <w:u w:val="single"/>
              </w:rPr>
            </w:pPr>
          </w:p>
          <w:p w:rsidR="00027D16" w:rsidRPr="00027D16" w:rsidRDefault="004E2764" w:rsidP="00BB0238">
            <w:pPr>
              <w:jc w:val="both"/>
            </w:pPr>
            <w:r>
              <w:t>It is the committee's opinion that this bill does not expressly create a criminal offen</w:t>
            </w:r>
            <w:r>
              <w:t>se, increase the punishment for an existing criminal offense or category of offenses, or change the eligibility of a person for community supervision, parole, or mandatory supervision.</w:t>
            </w:r>
          </w:p>
          <w:p w:rsidR="0017725B" w:rsidRPr="0017725B" w:rsidRDefault="004E2764" w:rsidP="00BB0238">
            <w:pPr>
              <w:rPr>
                <w:b/>
                <w:u w:val="single"/>
              </w:rPr>
            </w:pPr>
          </w:p>
        </w:tc>
      </w:tr>
      <w:tr w:rsidR="00777C54" w:rsidTr="00345119">
        <w:tc>
          <w:tcPr>
            <w:tcW w:w="9576" w:type="dxa"/>
          </w:tcPr>
          <w:p w:rsidR="008423E4" w:rsidRPr="00A8133F" w:rsidRDefault="004E2764" w:rsidP="00BB0238">
            <w:pPr>
              <w:rPr>
                <w:b/>
              </w:rPr>
            </w:pPr>
            <w:r w:rsidRPr="009C1E9A">
              <w:rPr>
                <w:b/>
                <w:u w:val="single"/>
              </w:rPr>
              <w:t>RULEMAKING AUTHORITY</w:t>
            </w:r>
            <w:r>
              <w:rPr>
                <w:b/>
              </w:rPr>
              <w:t xml:space="preserve"> </w:t>
            </w:r>
          </w:p>
          <w:p w:rsidR="008423E4" w:rsidRDefault="004E2764" w:rsidP="00BB0238"/>
          <w:p w:rsidR="00027D16" w:rsidRDefault="004E2764" w:rsidP="00BB0238">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4E2764" w:rsidP="00BB0238">
            <w:pPr>
              <w:rPr>
                <w:b/>
              </w:rPr>
            </w:pPr>
          </w:p>
        </w:tc>
      </w:tr>
      <w:tr w:rsidR="00777C54" w:rsidTr="00345119">
        <w:tc>
          <w:tcPr>
            <w:tcW w:w="9576" w:type="dxa"/>
          </w:tcPr>
          <w:p w:rsidR="008423E4" w:rsidRPr="00A8133F" w:rsidRDefault="004E2764" w:rsidP="00BB0238">
            <w:pPr>
              <w:rPr>
                <w:b/>
              </w:rPr>
            </w:pPr>
            <w:r w:rsidRPr="009C1E9A">
              <w:rPr>
                <w:b/>
                <w:u w:val="single"/>
              </w:rPr>
              <w:t>ANALYSIS</w:t>
            </w:r>
            <w:r>
              <w:rPr>
                <w:b/>
              </w:rPr>
              <w:t xml:space="preserve"> </w:t>
            </w:r>
          </w:p>
          <w:p w:rsidR="008423E4" w:rsidRDefault="004E2764" w:rsidP="00BB0238"/>
          <w:p w:rsidR="00364FFC" w:rsidRDefault="004E2764" w:rsidP="00BB0238">
            <w:pPr>
              <w:pStyle w:val="Header"/>
              <w:jc w:val="both"/>
            </w:pPr>
            <w:r>
              <w:t>C.S.</w:t>
            </w:r>
            <w:r>
              <w:t xml:space="preserve">H.B. </w:t>
            </w:r>
            <w:r>
              <w:t xml:space="preserve">69 </w:t>
            </w:r>
            <w:r>
              <w:t xml:space="preserve">amends the Property Code to authorize </w:t>
            </w:r>
            <w:r>
              <w:t>a representative of the</w:t>
            </w:r>
            <w:r w:rsidRPr="00BC36C7">
              <w:t xml:space="preserve"> </w:t>
            </w:r>
            <w:r w:rsidRPr="00BC36C7">
              <w:t>estate</w:t>
            </w:r>
            <w:r>
              <w:t xml:space="preserve"> </w:t>
            </w:r>
            <w:r w:rsidRPr="00BC36C7">
              <w:t xml:space="preserve">of a </w:t>
            </w:r>
            <w:r>
              <w:t xml:space="preserve">residential </w:t>
            </w:r>
            <w:r w:rsidRPr="00BC36C7">
              <w:t>tenant who dies before the e</w:t>
            </w:r>
            <w:r w:rsidRPr="00BC36C7">
              <w:t>xpiration of the tenant's lease</w:t>
            </w:r>
            <w:r>
              <w:t xml:space="preserve"> </w:t>
            </w:r>
            <w:r>
              <w:t>to</w:t>
            </w:r>
            <w:r w:rsidRPr="00BC36C7">
              <w:t xml:space="preserve"> terminate the tenant's rights and obligations under the lease and </w:t>
            </w:r>
            <w:r>
              <w:t>to</w:t>
            </w:r>
            <w:r w:rsidRPr="00BC36C7">
              <w:t xml:space="preserve"> vacate the </w:t>
            </w:r>
            <w:r>
              <w:t>leased premises</w:t>
            </w:r>
            <w:r w:rsidRPr="00BC36C7">
              <w:t xml:space="preserve"> </w:t>
            </w:r>
            <w:r w:rsidRPr="00BC36C7">
              <w:t xml:space="preserve">and avoid liability for any sum due under the lease for </w:t>
            </w:r>
            <w:r>
              <w:t xml:space="preserve">prematurely </w:t>
            </w:r>
            <w:r w:rsidRPr="00BC36C7">
              <w:t xml:space="preserve">terminating the lease and vacating the </w:t>
            </w:r>
            <w:r>
              <w:t>premises under the</w:t>
            </w:r>
            <w:r>
              <w:t xml:space="preserve"> following conditions:</w:t>
            </w:r>
          </w:p>
          <w:p w:rsidR="00364FFC" w:rsidRDefault="004E2764" w:rsidP="00BB0238">
            <w:pPr>
              <w:pStyle w:val="Header"/>
              <w:numPr>
                <w:ilvl w:val="0"/>
                <w:numId w:val="1"/>
              </w:numPr>
              <w:spacing w:before="120"/>
              <w:jc w:val="both"/>
            </w:pPr>
            <w:r>
              <w:t xml:space="preserve">the representative </w:t>
            </w:r>
            <w:r>
              <w:t>provide</w:t>
            </w:r>
            <w:r>
              <w:t>s to</w:t>
            </w:r>
            <w:r>
              <w:t xml:space="preserve"> the landlord</w:t>
            </w:r>
            <w:r>
              <w:t xml:space="preserve"> or landlord's agent</w:t>
            </w:r>
            <w:r>
              <w:t xml:space="preserve"> </w:t>
            </w:r>
            <w:r>
              <w:t xml:space="preserve">written </w:t>
            </w:r>
            <w:r>
              <w:t xml:space="preserve">notice </w:t>
            </w:r>
            <w:r>
              <w:t xml:space="preserve">of the termination of the lease; </w:t>
            </w:r>
          </w:p>
          <w:p w:rsidR="00204D7F" w:rsidRDefault="004E2764" w:rsidP="00BB0238">
            <w:pPr>
              <w:pStyle w:val="Header"/>
              <w:numPr>
                <w:ilvl w:val="0"/>
                <w:numId w:val="1"/>
              </w:numPr>
              <w:spacing w:before="120"/>
              <w:jc w:val="both"/>
            </w:pPr>
            <w:r w:rsidRPr="00BC36C7">
              <w:t>the deceased tenant's property</w:t>
            </w:r>
            <w:r>
              <w:t xml:space="preserve"> is removed from the leased</w:t>
            </w:r>
            <w:r w:rsidRPr="00BC36C7">
              <w:t xml:space="preserve"> premises</w:t>
            </w:r>
            <w:r>
              <w:t xml:space="preserve"> in accordance with </w:t>
            </w:r>
            <w:r>
              <w:t xml:space="preserve">applicable </w:t>
            </w:r>
            <w:r>
              <w:t xml:space="preserve">statutory provisions </w:t>
            </w:r>
            <w:r>
              <w:t>if</w:t>
            </w:r>
            <w:r>
              <w:t xml:space="preserve"> the</w:t>
            </w:r>
            <w:r>
              <w:t xml:space="preserve"> </w:t>
            </w:r>
            <w:r>
              <w:t xml:space="preserve">tenant </w:t>
            </w:r>
            <w:r>
              <w:t>was the</w:t>
            </w:r>
            <w:r>
              <w:t xml:space="preserve"> sole occupant</w:t>
            </w:r>
            <w:r>
              <w:t xml:space="preserve"> and</w:t>
            </w:r>
            <w:r>
              <w:t xml:space="preserve"> </w:t>
            </w:r>
            <w:r>
              <w:t xml:space="preserve">otherwise </w:t>
            </w:r>
            <w:r>
              <w:t>by a person lawfully entitled to the deceased tenant's property</w:t>
            </w:r>
            <w:r>
              <w:t>;</w:t>
            </w:r>
            <w:r>
              <w:t xml:space="preserve"> and </w:t>
            </w:r>
          </w:p>
          <w:p w:rsidR="00204D7F" w:rsidRDefault="004E2764" w:rsidP="00BB0238">
            <w:pPr>
              <w:pStyle w:val="Header"/>
              <w:numPr>
                <w:ilvl w:val="0"/>
                <w:numId w:val="1"/>
              </w:numPr>
              <w:spacing w:before="120" w:after="120"/>
              <w:jc w:val="both"/>
            </w:pPr>
            <w:r>
              <w:t>that</w:t>
            </w:r>
            <w:r>
              <w:t xml:space="preserve"> lawfully entitled person signs an inventory of the removed property</w:t>
            </w:r>
            <w:r>
              <w:t>,</w:t>
            </w:r>
            <w:r>
              <w:t xml:space="preserve"> if required by the landlord or the landlord's agent. </w:t>
            </w:r>
          </w:p>
          <w:p w:rsidR="00860A81" w:rsidRDefault="004E2764" w:rsidP="00BB0238">
            <w:pPr>
              <w:pStyle w:val="Header"/>
              <w:jc w:val="both"/>
            </w:pPr>
            <w:r>
              <w:t>The bill establishes that termination of the lease is effective on the later of the 30th day after the date on which notice was provided</w:t>
            </w:r>
            <w:r>
              <w:t xml:space="preserve"> to the landlord</w:t>
            </w:r>
            <w:r>
              <w:t xml:space="preserve"> or the date on which all </w:t>
            </w:r>
            <w:r>
              <w:t xml:space="preserve">of the </w:t>
            </w:r>
            <w:r>
              <w:t xml:space="preserve">conditions under the bill's provisions have been met. </w:t>
            </w:r>
            <w:r>
              <w:t>The bill requires</w:t>
            </w:r>
            <w:r>
              <w:t xml:space="preserve"> the landlord, on receipt of the notice, to provide a copy of the written lease agreement to the person </w:t>
            </w:r>
            <w:r>
              <w:t>who provided</w:t>
            </w:r>
            <w:r>
              <w:t xml:space="preserve"> the notice. </w:t>
            </w:r>
          </w:p>
          <w:p w:rsidR="00860A81" w:rsidRDefault="004E2764" w:rsidP="00BB0238">
            <w:pPr>
              <w:pStyle w:val="Header"/>
              <w:jc w:val="both"/>
            </w:pPr>
          </w:p>
          <w:p w:rsidR="00670A3E" w:rsidRDefault="004E2764" w:rsidP="00BB0238">
            <w:pPr>
              <w:pStyle w:val="Header"/>
              <w:jc w:val="both"/>
            </w:pPr>
            <w:r>
              <w:t>C.S.</w:t>
            </w:r>
            <w:r>
              <w:t xml:space="preserve">H.B. 69 </w:t>
            </w:r>
            <w:r>
              <w:t xml:space="preserve">establishes that </w:t>
            </w:r>
            <w:r>
              <w:t>the bill's provisions do not affect the obligations or liability of the tenant or the tenant's e</w:t>
            </w:r>
            <w:r>
              <w:t xml:space="preserve">state under the lease before the lease is terminated, including the liability of the tenant or the tenant's estate for delinquent, unpaid rent and damages to the leased premises not caused by normal wear and tear. The bill exempts a landlord or landlord's </w:t>
            </w:r>
            <w:r>
              <w:t>agent who lawfully permits a representative of the estate of a</w:t>
            </w:r>
            <w:r>
              <w:t>n applicable</w:t>
            </w:r>
            <w:r>
              <w:t xml:space="preserve"> tenant </w:t>
            </w:r>
            <w:r>
              <w:t>to enter or facilitates the person's entry into the leased premises from liability for an act or omission that arises in connection with permitting or facilitating the entry.</w:t>
            </w:r>
          </w:p>
          <w:p w:rsidR="008423E4" w:rsidRPr="00835628" w:rsidRDefault="004E2764" w:rsidP="00BB0238">
            <w:pPr>
              <w:pStyle w:val="Header"/>
              <w:jc w:val="both"/>
              <w:rPr>
                <w:b/>
              </w:rPr>
            </w:pPr>
          </w:p>
        </w:tc>
      </w:tr>
      <w:tr w:rsidR="00777C54" w:rsidTr="00345119">
        <w:tc>
          <w:tcPr>
            <w:tcW w:w="9576" w:type="dxa"/>
          </w:tcPr>
          <w:p w:rsidR="008423E4" w:rsidRPr="00A8133F" w:rsidRDefault="004E2764" w:rsidP="00BB0238">
            <w:pPr>
              <w:rPr>
                <w:b/>
              </w:rPr>
            </w:pPr>
            <w:r w:rsidRPr="009C1E9A">
              <w:rPr>
                <w:b/>
                <w:u w:val="single"/>
              </w:rPr>
              <w:t>EFFECTIVE DATE</w:t>
            </w:r>
            <w:r>
              <w:rPr>
                <w:b/>
              </w:rPr>
              <w:t xml:space="preserve"> </w:t>
            </w:r>
          </w:p>
          <w:p w:rsidR="008423E4" w:rsidRDefault="004E2764" w:rsidP="00BB0238"/>
          <w:p w:rsidR="008423E4" w:rsidRPr="003624F2" w:rsidRDefault="004E2764" w:rsidP="00BB0238">
            <w:pPr>
              <w:pStyle w:val="Header"/>
              <w:tabs>
                <w:tab w:val="clear" w:pos="4320"/>
                <w:tab w:val="clear" w:pos="8640"/>
              </w:tabs>
              <w:jc w:val="both"/>
            </w:pPr>
            <w:r>
              <w:t>September 1, 2019.</w:t>
            </w:r>
          </w:p>
          <w:p w:rsidR="008423E4" w:rsidRPr="00233FDB" w:rsidRDefault="004E2764" w:rsidP="00BB0238">
            <w:pPr>
              <w:rPr>
                <w:b/>
              </w:rPr>
            </w:pPr>
          </w:p>
        </w:tc>
      </w:tr>
      <w:tr w:rsidR="00777C54" w:rsidTr="00345119">
        <w:tc>
          <w:tcPr>
            <w:tcW w:w="9576" w:type="dxa"/>
          </w:tcPr>
          <w:p w:rsidR="000D7744" w:rsidRDefault="004E2764" w:rsidP="00BB0238">
            <w:pPr>
              <w:jc w:val="both"/>
              <w:rPr>
                <w:b/>
                <w:u w:val="single"/>
              </w:rPr>
            </w:pPr>
            <w:r>
              <w:rPr>
                <w:b/>
                <w:u w:val="single"/>
              </w:rPr>
              <w:t>COMPARISON OF ORIGINAL AND SUBSTITUTE</w:t>
            </w:r>
          </w:p>
          <w:p w:rsidR="00670A3E" w:rsidRDefault="004E2764" w:rsidP="00BB0238">
            <w:pPr>
              <w:jc w:val="both"/>
            </w:pPr>
          </w:p>
          <w:p w:rsidR="00670A3E" w:rsidRDefault="004E2764" w:rsidP="00BB0238">
            <w:pPr>
              <w:jc w:val="both"/>
            </w:pPr>
            <w:r>
              <w:t xml:space="preserve">While C.S.H.B. 69 may differ from the original in minor or nonsubstantive ways, the following summarizes the substantial differences between the introduced and committee </w:t>
            </w:r>
            <w:r>
              <w:t>substitute versions of the bill.</w:t>
            </w:r>
          </w:p>
          <w:p w:rsidR="00670A3E" w:rsidRDefault="004E2764" w:rsidP="00BB0238">
            <w:pPr>
              <w:jc w:val="both"/>
            </w:pPr>
          </w:p>
          <w:p w:rsidR="005D5DE5" w:rsidRDefault="004E2764" w:rsidP="00BB0238">
            <w:pPr>
              <w:jc w:val="both"/>
            </w:pPr>
            <w:r>
              <w:t>The substitute, with regard to the notice provided to the landlord:</w:t>
            </w:r>
          </w:p>
          <w:p w:rsidR="005D5DE5" w:rsidRDefault="004E2764" w:rsidP="00BB0238">
            <w:pPr>
              <w:pStyle w:val="ListParagraph"/>
              <w:numPr>
                <w:ilvl w:val="0"/>
                <w:numId w:val="2"/>
              </w:numPr>
              <w:spacing w:before="120"/>
              <w:jc w:val="both"/>
            </w:pPr>
            <w:r>
              <w:t>includes a specification that the notice must be written; and</w:t>
            </w:r>
          </w:p>
          <w:p w:rsidR="005D5DE5" w:rsidRDefault="004E2764" w:rsidP="00BB0238">
            <w:pPr>
              <w:pStyle w:val="ListParagraph"/>
              <w:numPr>
                <w:ilvl w:val="0"/>
                <w:numId w:val="2"/>
              </w:numPr>
              <w:spacing w:before="120"/>
              <w:jc w:val="both"/>
            </w:pPr>
            <w:r>
              <w:t>does not include specifications for the contents of the notice.</w:t>
            </w:r>
            <w:r>
              <w:t xml:space="preserve"> </w:t>
            </w:r>
          </w:p>
          <w:p w:rsidR="005D5DE5" w:rsidRDefault="004E2764" w:rsidP="00BB0238">
            <w:pPr>
              <w:jc w:val="both"/>
            </w:pPr>
          </w:p>
          <w:p w:rsidR="00210306" w:rsidRDefault="004E2764" w:rsidP="00BB0238">
            <w:pPr>
              <w:jc w:val="both"/>
            </w:pPr>
            <w:r>
              <w:t>The substitute includes ad</w:t>
            </w:r>
            <w:r>
              <w:t xml:space="preserve">ditional provisions relating to the removal of the deceased tenant's property, including a requirement for </w:t>
            </w:r>
            <w:r>
              <w:t xml:space="preserve">a person lawfully entitled to the deceased tenant's property </w:t>
            </w:r>
            <w:r>
              <w:t>to sign an inventory of that property if required by the landlord.</w:t>
            </w:r>
          </w:p>
          <w:p w:rsidR="00210306" w:rsidRDefault="004E2764" w:rsidP="00BB0238">
            <w:pPr>
              <w:jc w:val="both"/>
            </w:pPr>
          </w:p>
          <w:p w:rsidR="00670A3E" w:rsidRDefault="004E2764" w:rsidP="00BB0238">
            <w:pPr>
              <w:jc w:val="both"/>
            </w:pPr>
            <w:r>
              <w:t>The substitute</w:t>
            </w:r>
            <w:r>
              <w:t xml:space="preserve"> </w:t>
            </w:r>
            <w:r>
              <w:t xml:space="preserve">includes a provision </w:t>
            </w:r>
            <w:r>
              <w:t>establishing the effective date for</w:t>
            </w:r>
            <w:r>
              <w:t xml:space="preserve"> termination of </w:t>
            </w:r>
            <w:r>
              <w:t xml:space="preserve">the </w:t>
            </w:r>
            <w:r>
              <w:t>lease.</w:t>
            </w:r>
          </w:p>
          <w:p w:rsidR="007C5818" w:rsidRDefault="004E2764" w:rsidP="00BB0238">
            <w:pPr>
              <w:jc w:val="both"/>
            </w:pPr>
          </w:p>
          <w:p w:rsidR="00841777" w:rsidRDefault="004E2764" w:rsidP="00BB0238">
            <w:pPr>
              <w:jc w:val="both"/>
            </w:pPr>
            <w:r>
              <w:t xml:space="preserve">The substitute does not include a provision </w:t>
            </w:r>
            <w:r>
              <w:t xml:space="preserve">making a deceased tenant's representative or family liable for rent or subject to a penalty for failing to vacate the premises or otherwise comply with a lease. The substitute </w:t>
            </w:r>
            <w:r w:rsidRPr="00BE39F2">
              <w:t>includes</w:t>
            </w:r>
            <w:r>
              <w:t xml:space="preserve"> </w:t>
            </w:r>
            <w:r>
              <w:t xml:space="preserve">a provision </w:t>
            </w:r>
            <w:r>
              <w:t>relating to the obligations or liability of a tenant or ten</w:t>
            </w:r>
            <w:r>
              <w:t xml:space="preserve">ant's estate </w:t>
            </w:r>
            <w:r>
              <w:t>under a lease before termination as provided by the bill.</w:t>
            </w:r>
            <w:r>
              <w:t xml:space="preserve"> </w:t>
            </w:r>
          </w:p>
          <w:p w:rsidR="00841777" w:rsidRDefault="004E2764" w:rsidP="00BB0238">
            <w:pPr>
              <w:jc w:val="both"/>
            </w:pPr>
          </w:p>
          <w:p w:rsidR="00D84CA1" w:rsidRDefault="004E2764" w:rsidP="00BB0238">
            <w:pPr>
              <w:jc w:val="both"/>
            </w:pPr>
            <w:r>
              <w:t>The substitute does not include a prohibition against a landlord imposing any penalty, including an early move-out or reletting charge, for the sole reason that a lease was terminated</w:t>
            </w:r>
            <w:r>
              <w:t xml:space="preserve"> because of a tenant's death.</w:t>
            </w:r>
          </w:p>
          <w:p w:rsidR="00D84CA1" w:rsidRDefault="004E2764" w:rsidP="00BB0238">
            <w:pPr>
              <w:jc w:val="both"/>
            </w:pPr>
          </w:p>
          <w:p w:rsidR="007C5818" w:rsidRDefault="004E2764" w:rsidP="00BB0238">
            <w:pPr>
              <w:jc w:val="both"/>
            </w:pPr>
            <w:r>
              <w:t xml:space="preserve">The </w:t>
            </w:r>
            <w:r>
              <w:t xml:space="preserve">substitute </w:t>
            </w:r>
            <w:r>
              <w:t xml:space="preserve">includes a provision exempting a landlord </w:t>
            </w:r>
            <w:r>
              <w:t xml:space="preserve">or landlord's agent </w:t>
            </w:r>
            <w:r>
              <w:t xml:space="preserve">from liability for an act or omission that arises from permitting or facilitating </w:t>
            </w:r>
            <w:r>
              <w:t>the</w:t>
            </w:r>
            <w:r>
              <w:t xml:space="preserve"> entry of a representative of </w:t>
            </w:r>
            <w:r>
              <w:t>the tenant's</w:t>
            </w:r>
            <w:r>
              <w:t xml:space="preserve"> estate</w:t>
            </w:r>
            <w:r>
              <w:t xml:space="preserve"> into the leas</w:t>
            </w:r>
            <w:r>
              <w:t>ed premises</w:t>
            </w:r>
            <w:r>
              <w:t>.</w:t>
            </w:r>
          </w:p>
          <w:p w:rsidR="00670A3E" w:rsidRPr="00670A3E" w:rsidRDefault="004E2764" w:rsidP="00BB0238">
            <w:pPr>
              <w:jc w:val="both"/>
            </w:pPr>
          </w:p>
        </w:tc>
      </w:tr>
      <w:tr w:rsidR="00777C54" w:rsidTr="00345119">
        <w:tc>
          <w:tcPr>
            <w:tcW w:w="9576" w:type="dxa"/>
          </w:tcPr>
          <w:p w:rsidR="000D7744" w:rsidRPr="009C1E9A" w:rsidRDefault="004E2764" w:rsidP="00BB0238">
            <w:pPr>
              <w:rPr>
                <w:b/>
                <w:u w:val="single"/>
              </w:rPr>
            </w:pPr>
          </w:p>
        </w:tc>
      </w:tr>
      <w:tr w:rsidR="00777C54" w:rsidTr="00345119">
        <w:tc>
          <w:tcPr>
            <w:tcW w:w="9576" w:type="dxa"/>
          </w:tcPr>
          <w:p w:rsidR="000D7744" w:rsidRPr="000D7744" w:rsidRDefault="004E2764" w:rsidP="00BB0238">
            <w:pPr>
              <w:jc w:val="both"/>
            </w:pPr>
          </w:p>
        </w:tc>
      </w:tr>
    </w:tbl>
    <w:p w:rsidR="004108C3" w:rsidRPr="00EE751A" w:rsidRDefault="004E2764" w:rsidP="008423E4">
      <w:pPr>
        <w:rPr>
          <w:sz w:val="16"/>
        </w:rPr>
      </w:pPr>
    </w:p>
    <w:sectPr w:rsidR="004108C3" w:rsidRPr="00EE751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2764">
      <w:r>
        <w:separator/>
      </w:r>
    </w:p>
  </w:endnote>
  <w:endnote w:type="continuationSeparator" w:id="0">
    <w:p w:rsidR="00000000" w:rsidRDefault="004E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77C54" w:rsidTr="009C1E9A">
      <w:trPr>
        <w:cantSplit/>
      </w:trPr>
      <w:tc>
        <w:tcPr>
          <w:tcW w:w="0" w:type="pct"/>
        </w:tcPr>
        <w:p w:rsidR="00137D90" w:rsidRDefault="004E2764" w:rsidP="009C1E9A">
          <w:pPr>
            <w:pStyle w:val="Footer"/>
            <w:tabs>
              <w:tab w:val="clear" w:pos="8640"/>
              <w:tab w:val="right" w:pos="9360"/>
            </w:tabs>
          </w:pPr>
        </w:p>
      </w:tc>
      <w:tc>
        <w:tcPr>
          <w:tcW w:w="2395" w:type="pct"/>
        </w:tcPr>
        <w:p w:rsidR="00137D90" w:rsidRDefault="004E2764" w:rsidP="009C1E9A">
          <w:pPr>
            <w:pStyle w:val="Footer"/>
            <w:tabs>
              <w:tab w:val="clear" w:pos="8640"/>
              <w:tab w:val="right" w:pos="9360"/>
            </w:tabs>
          </w:pPr>
        </w:p>
        <w:p w:rsidR="001A4310" w:rsidRDefault="004E2764" w:rsidP="009C1E9A">
          <w:pPr>
            <w:pStyle w:val="Footer"/>
            <w:tabs>
              <w:tab w:val="clear" w:pos="8640"/>
              <w:tab w:val="right" w:pos="9360"/>
            </w:tabs>
          </w:pPr>
        </w:p>
        <w:p w:rsidR="00137D90" w:rsidRDefault="004E2764" w:rsidP="009C1E9A">
          <w:pPr>
            <w:pStyle w:val="Footer"/>
            <w:tabs>
              <w:tab w:val="clear" w:pos="8640"/>
              <w:tab w:val="right" w:pos="9360"/>
            </w:tabs>
          </w:pPr>
        </w:p>
      </w:tc>
      <w:tc>
        <w:tcPr>
          <w:tcW w:w="2453" w:type="pct"/>
        </w:tcPr>
        <w:p w:rsidR="00137D90" w:rsidRDefault="004E2764" w:rsidP="009C1E9A">
          <w:pPr>
            <w:pStyle w:val="Footer"/>
            <w:tabs>
              <w:tab w:val="clear" w:pos="8640"/>
              <w:tab w:val="right" w:pos="9360"/>
            </w:tabs>
            <w:jc w:val="right"/>
          </w:pPr>
        </w:p>
      </w:tc>
    </w:tr>
    <w:tr w:rsidR="00777C54" w:rsidTr="009C1E9A">
      <w:trPr>
        <w:cantSplit/>
      </w:trPr>
      <w:tc>
        <w:tcPr>
          <w:tcW w:w="0" w:type="pct"/>
        </w:tcPr>
        <w:p w:rsidR="00EC379B" w:rsidRDefault="004E2764" w:rsidP="009C1E9A">
          <w:pPr>
            <w:pStyle w:val="Footer"/>
            <w:tabs>
              <w:tab w:val="clear" w:pos="8640"/>
              <w:tab w:val="right" w:pos="9360"/>
            </w:tabs>
          </w:pPr>
        </w:p>
      </w:tc>
      <w:tc>
        <w:tcPr>
          <w:tcW w:w="2395" w:type="pct"/>
        </w:tcPr>
        <w:p w:rsidR="00EC379B" w:rsidRPr="009C1E9A" w:rsidRDefault="004E2764" w:rsidP="009C1E9A">
          <w:pPr>
            <w:pStyle w:val="Footer"/>
            <w:tabs>
              <w:tab w:val="clear" w:pos="8640"/>
              <w:tab w:val="right" w:pos="9360"/>
            </w:tabs>
            <w:rPr>
              <w:rFonts w:ascii="Shruti" w:hAnsi="Shruti"/>
              <w:sz w:val="22"/>
            </w:rPr>
          </w:pPr>
          <w:r>
            <w:rPr>
              <w:rFonts w:ascii="Shruti" w:hAnsi="Shruti"/>
              <w:sz w:val="22"/>
            </w:rPr>
            <w:t>86R 22905</w:t>
          </w:r>
        </w:p>
      </w:tc>
      <w:tc>
        <w:tcPr>
          <w:tcW w:w="2453" w:type="pct"/>
        </w:tcPr>
        <w:p w:rsidR="00EC379B" w:rsidRDefault="004E2764" w:rsidP="009C1E9A">
          <w:pPr>
            <w:pStyle w:val="Footer"/>
            <w:tabs>
              <w:tab w:val="clear" w:pos="8640"/>
              <w:tab w:val="right" w:pos="9360"/>
            </w:tabs>
            <w:jc w:val="right"/>
          </w:pPr>
          <w:r>
            <w:fldChar w:fldCharType="begin"/>
          </w:r>
          <w:r>
            <w:instrText xml:space="preserve"> DOCPROPERTY  OTID  \* MERGEFORMAT </w:instrText>
          </w:r>
          <w:r>
            <w:fldChar w:fldCharType="separate"/>
          </w:r>
          <w:r>
            <w:t>19.88.728</w:t>
          </w:r>
          <w:r>
            <w:fldChar w:fldCharType="end"/>
          </w:r>
        </w:p>
      </w:tc>
    </w:tr>
    <w:tr w:rsidR="00777C54" w:rsidTr="009C1E9A">
      <w:trPr>
        <w:cantSplit/>
      </w:trPr>
      <w:tc>
        <w:tcPr>
          <w:tcW w:w="0" w:type="pct"/>
        </w:tcPr>
        <w:p w:rsidR="00EC379B" w:rsidRDefault="004E2764" w:rsidP="009C1E9A">
          <w:pPr>
            <w:pStyle w:val="Footer"/>
            <w:tabs>
              <w:tab w:val="clear" w:pos="4320"/>
              <w:tab w:val="clear" w:pos="8640"/>
              <w:tab w:val="left" w:pos="2865"/>
            </w:tabs>
          </w:pPr>
        </w:p>
      </w:tc>
      <w:tc>
        <w:tcPr>
          <w:tcW w:w="2395" w:type="pct"/>
        </w:tcPr>
        <w:p w:rsidR="00EC379B" w:rsidRPr="009C1E9A" w:rsidRDefault="004E2764" w:rsidP="009C1E9A">
          <w:pPr>
            <w:pStyle w:val="Footer"/>
            <w:tabs>
              <w:tab w:val="clear" w:pos="4320"/>
              <w:tab w:val="clear" w:pos="8640"/>
              <w:tab w:val="left" w:pos="2865"/>
            </w:tabs>
            <w:rPr>
              <w:rFonts w:ascii="Shruti" w:hAnsi="Shruti"/>
              <w:sz w:val="22"/>
            </w:rPr>
          </w:pPr>
          <w:r>
            <w:rPr>
              <w:rFonts w:ascii="Shruti" w:hAnsi="Shruti"/>
              <w:sz w:val="22"/>
            </w:rPr>
            <w:t>Substitute Document Number: 86R 12427</w:t>
          </w:r>
        </w:p>
      </w:tc>
      <w:tc>
        <w:tcPr>
          <w:tcW w:w="2453" w:type="pct"/>
        </w:tcPr>
        <w:p w:rsidR="00EC379B" w:rsidRDefault="004E2764" w:rsidP="006D504F">
          <w:pPr>
            <w:pStyle w:val="Footer"/>
            <w:rPr>
              <w:rStyle w:val="PageNumber"/>
            </w:rPr>
          </w:pPr>
        </w:p>
        <w:p w:rsidR="00EC379B" w:rsidRDefault="004E2764" w:rsidP="009C1E9A">
          <w:pPr>
            <w:pStyle w:val="Footer"/>
            <w:tabs>
              <w:tab w:val="clear" w:pos="8640"/>
              <w:tab w:val="right" w:pos="9360"/>
            </w:tabs>
            <w:jc w:val="right"/>
          </w:pPr>
        </w:p>
      </w:tc>
    </w:tr>
    <w:tr w:rsidR="00777C54" w:rsidTr="009C1E9A">
      <w:trPr>
        <w:cantSplit/>
        <w:trHeight w:val="323"/>
      </w:trPr>
      <w:tc>
        <w:tcPr>
          <w:tcW w:w="0" w:type="pct"/>
          <w:gridSpan w:val="3"/>
        </w:tcPr>
        <w:p w:rsidR="00EC379B" w:rsidRDefault="004E27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E2764" w:rsidP="009C1E9A">
          <w:pPr>
            <w:pStyle w:val="Footer"/>
            <w:tabs>
              <w:tab w:val="clear" w:pos="8640"/>
              <w:tab w:val="right" w:pos="9360"/>
            </w:tabs>
            <w:jc w:val="center"/>
          </w:pPr>
        </w:p>
      </w:tc>
    </w:tr>
  </w:tbl>
  <w:p w:rsidR="00EC379B" w:rsidRPr="00FF6F72" w:rsidRDefault="004E276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2764">
      <w:r>
        <w:separator/>
      </w:r>
    </w:p>
  </w:footnote>
  <w:footnote w:type="continuationSeparator" w:id="0">
    <w:p w:rsidR="00000000" w:rsidRDefault="004E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2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C49B2"/>
    <w:multiLevelType w:val="hybridMultilevel"/>
    <w:tmpl w:val="013C91D4"/>
    <w:lvl w:ilvl="0" w:tplc="0478B460">
      <w:start w:val="1"/>
      <w:numFmt w:val="bullet"/>
      <w:lvlText w:val=""/>
      <w:lvlJc w:val="left"/>
      <w:pPr>
        <w:tabs>
          <w:tab w:val="num" w:pos="720"/>
        </w:tabs>
        <w:ind w:left="720" w:hanging="360"/>
      </w:pPr>
      <w:rPr>
        <w:rFonts w:ascii="Symbol" w:hAnsi="Symbol" w:hint="default"/>
      </w:rPr>
    </w:lvl>
    <w:lvl w:ilvl="1" w:tplc="5C7ECC4A" w:tentative="1">
      <w:start w:val="1"/>
      <w:numFmt w:val="bullet"/>
      <w:lvlText w:val="o"/>
      <w:lvlJc w:val="left"/>
      <w:pPr>
        <w:ind w:left="1440" w:hanging="360"/>
      </w:pPr>
      <w:rPr>
        <w:rFonts w:ascii="Courier New" w:hAnsi="Courier New" w:cs="Courier New" w:hint="default"/>
      </w:rPr>
    </w:lvl>
    <w:lvl w:ilvl="2" w:tplc="A6BCFB0C" w:tentative="1">
      <w:start w:val="1"/>
      <w:numFmt w:val="bullet"/>
      <w:lvlText w:val=""/>
      <w:lvlJc w:val="left"/>
      <w:pPr>
        <w:ind w:left="2160" w:hanging="360"/>
      </w:pPr>
      <w:rPr>
        <w:rFonts w:ascii="Wingdings" w:hAnsi="Wingdings" w:hint="default"/>
      </w:rPr>
    </w:lvl>
    <w:lvl w:ilvl="3" w:tplc="948A0808" w:tentative="1">
      <w:start w:val="1"/>
      <w:numFmt w:val="bullet"/>
      <w:lvlText w:val=""/>
      <w:lvlJc w:val="left"/>
      <w:pPr>
        <w:ind w:left="2880" w:hanging="360"/>
      </w:pPr>
      <w:rPr>
        <w:rFonts w:ascii="Symbol" w:hAnsi="Symbol" w:hint="default"/>
      </w:rPr>
    </w:lvl>
    <w:lvl w:ilvl="4" w:tplc="8B547D32" w:tentative="1">
      <w:start w:val="1"/>
      <w:numFmt w:val="bullet"/>
      <w:lvlText w:val="o"/>
      <w:lvlJc w:val="left"/>
      <w:pPr>
        <w:ind w:left="3600" w:hanging="360"/>
      </w:pPr>
      <w:rPr>
        <w:rFonts w:ascii="Courier New" w:hAnsi="Courier New" w:cs="Courier New" w:hint="default"/>
      </w:rPr>
    </w:lvl>
    <w:lvl w:ilvl="5" w:tplc="6F28C92C" w:tentative="1">
      <w:start w:val="1"/>
      <w:numFmt w:val="bullet"/>
      <w:lvlText w:val=""/>
      <w:lvlJc w:val="left"/>
      <w:pPr>
        <w:ind w:left="4320" w:hanging="360"/>
      </w:pPr>
      <w:rPr>
        <w:rFonts w:ascii="Wingdings" w:hAnsi="Wingdings" w:hint="default"/>
      </w:rPr>
    </w:lvl>
    <w:lvl w:ilvl="6" w:tplc="29D2A968" w:tentative="1">
      <w:start w:val="1"/>
      <w:numFmt w:val="bullet"/>
      <w:lvlText w:val=""/>
      <w:lvlJc w:val="left"/>
      <w:pPr>
        <w:ind w:left="5040" w:hanging="360"/>
      </w:pPr>
      <w:rPr>
        <w:rFonts w:ascii="Symbol" w:hAnsi="Symbol" w:hint="default"/>
      </w:rPr>
    </w:lvl>
    <w:lvl w:ilvl="7" w:tplc="69D817AC" w:tentative="1">
      <w:start w:val="1"/>
      <w:numFmt w:val="bullet"/>
      <w:lvlText w:val="o"/>
      <w:lvlJc w:val="left"/>
      <w:pPr>
        <w:ind w:left="5760" w:hanging="360"/>
      </w:pPr>
      <w:rPr>
        <w:rFonts w:ascii="Courier New" w:hAnsi="Courier New" w:cs="Courier New" w:hint="default"/>
      </w:rPr>
    </w:lvl>
    <w:lvl w:ilvl="8" w:tplc="889C69E6" w:tentative="1">
      <w:start w:val="1"/>
      <w:numFmt w:val="bullet"/>
      <w:lvlText w:val=""/>
      <w:lvlJc w:val="left"/>
      <w:pPr>
        <w:ind w:left="6480" w:hanging="360"/>
      </w:pPr>
      <w:rPr>
        <w:rFonts w:ascii="Wingdings" w:hAnsi="Wingdings" w:hint="default"/>
      </w:rPr>
    </w:lvl>
  </w:abstractNum>
  <w:abstractNum w:abstractNumId="1" w15:restartNumberingAfterBreak="0">
    <w:nsid w:val="733F1675"/>
    <w:multiLevelType w:val="hybridMultilevel"/>
    <w:tmpl w:val="7C9018E0"/>
    <w:lvl w:ilvl="0" w:tplc="D526A7FA">
      <w:start w:val="1"/>
      <w:numFmt w:val="bullet"/>
      <w:lvlText w:val=""/>
      <w:lvlJc w:val="left"/>
      <w:pPr>
        <w:tabs>
          <w:tab w:val="num" w:pos="720"/>
        </w:tabs>
        <w:ind w:left="720" w:hanging="360"/>
      </w:pPr>
      <w:rPr>
        <w:rFonts w:ascii="Symbol" w:hAnsi="Symbol" w:hint="default"/>
      </w:rPr>
    </w:lvl>
    <w:lvl w:ilvl="1" w:tplc="B1A20040" w:tentative="1">
      <w:start w:val="1"/>
      <w:numFmt w:val="bullet"/>
      <w:lvlText w:val="o"/>
      <w:lvlJc w:val="left"/>
      <w:pPr>
        <w:ind w:left="1440" w:hanging="360"/>
      </w:pPr>
      <w:rPr>
        <w:rFonts w:ascii="Courier New" w:hAnsi="Courier New" w:cs="Courier New" w:hint="default"/>
      </w:rPr>
    </w:lvl>
    <w:lvl w:ilvl="2" w:tplc="D9CAA9E6" w:tentative="1">
      <w:start w:val="1"/>
      <w:numFmt w:val="bullet"/>
      <w:lvlText w:val=""/>
      <w:lvlJc w:val="left"/>
      <w:pPr>
        <w:ind w:left="2160" w:hanging="360"/>
      </w:pPr>
      <w:rPr>
        <w:rFonts w:ascii="Wingdings" w:hAnsi="Wingdings" w:hint="default"/>
      </w:rPr>
    </w:lvl>
    <w:lvl w:ilvl="3" w:tplc="5AE80E66" w:tentative="1">
      <w:start w:val="1"/>
      <w:numFmt w:val="bullet"/>
      <w:lvlText w:val=""/>
      <w:lvlJc w:val="left"/>
      <w:pPr>
        <w:ind w:left="2880" w:hanging="360"/>
      </w:pPr>
      <w:rPr>
        <w:rFonts w:ascii="Symbol" w:hAnsi="Symbol" w:hint="default"/>
      </w:rPr>
    </w:lvl>
    <w:lvl w:ilvl="4" w:tplc="A0E884BA" w:tentative="1">
      <w:start w:val="1"/>
      <w:numFmt w:val="bullet"/>
      <w:lvlText w:val="o"/>
      <w:lvlJc w:val="left"/>
      <w:pPr>
        <w:ind w:left="3600" w:hanging="360"/>
      </w:pPr>
      <w:rPr>
        <w:rFonts w:ascii="Courier New" w:hAnsi="Courier New" w:cs="Courier New" w:hint="default"/>
      </w:rPr>
    </w:lvl>
    <w:lvl w:ilvl="5" w:tplc="48DA5B40" w:tentative="1">
      <w:start w:val="1"/>
      <w:numFmt w:val="bullet"/>
      <w:lvlText w:val=""/>
      <w:lvlJc w:val="left"/>
      <w:pPr>
        <w:ind w:left="4320" w:hanging="360"/>
      </w:pPr>
      <w:rPr>
        <w:rFonts w:ascii="Wingdings" w:hAnsi="Wingdings" w:hint="default"/>
      </w:rPr>
    </w:lvl>
    <w:lvl w:ilvl="6" w:tplc="21062CA0" w:tentative="1">
      <w:start w:val="1"/>
      <w:numFmt w:val="bullet"/>
      <w:lvlText w:val=""/>
      <w:lvlJc w:val="left"/>
      <w:pPr>
        <w:ind w:left="5040" w:hanging="360"/>
      </w:pPr>
      <w:rPr>
        <w:rFonts w:ascii="Symbol" w:hAnsi="Symbol" w:hint="default"/>
      </w:rPr>
    </w:lvl>
    <w:lvl w:ilvl="7" w:tplc="604EECF0" w:tentative="1">
      <w:start w:val="1"/>
      <w:numFmt w:val="bullet"/>
      <w:lvlText w:val="o"/>
      <w:lvlJc w:val="left"/>
      <w:pPr>
        <w:ind w:left="5760" w:hanging="360"/>
      </w:pPr>
      <w:rPr>
        <w:rFonts w:ascii="Courier New" w:hAnsi="Courier New" w:cs="Courier New" w:hint="default"/>
      </w:rPr>
    </w:lvl>
    <w:lvl w:ilvl="8" w:tplc="36EC5A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54"/>
    <w:rsid w:val="004E2764"/>
    <w:rsid w:val="0077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84DD9-2D4B-4393-96D7-7A378F19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E3E4F"/>
    <w:rPr>
      <w:sz w:val="16"/>
      <w:szCs w:val="16"/>
    </w:rPr>
  </w:style>
  <w:style w:type="paragraph" w:styleId="CommentText">
    <w:name w:val="annotation text"/>
    <w:basedOn w:val="Normal"/>
    <w:link w:val="CommentTextChar"/>
    <w:semiHidden/>
    <w:unhideWhenUsed/>
    <w:rsid w:val="00BE3E4F"/>
    <w:rPr>
      <w:sz w:val="20"/>
      <w:szCs w:val="20"/>
    </w:rPr>
  </w:style>
  <w:style w:type="character" w:customStyle="1" w:styleId="CommentTextChar">
    <w:name w:val="Comment Text Char"/>
    <w:basedOn w:val="DefaultParagraphFont"/>
    <w:link w:val="CommentText"/>
    <w:semiHidden/>
    <w:rsid w:val="00BE3E4F"/>
  </w:style>
  <w:style w:type="paragraph" w:styleId="CommentSubject">
    <w:name w:val="annotation subject"/>
    <w:basedOn w:val="CommentText"/>
    <w:next w:val="CommentText"/>
    <w:link w:val="CommentSubjectChar"/>
    <w:semiHidden/>
    <w:unhideWhenUsed/>
    <w:rsid w:val="00BE3E4F"/>
    <w:rPr>
      <w:b/>
      <w:bCs/>
    </w:rPr>
  </w:style>
  <w:style w:type="character" w:customStyle="1" w:styleId="CommentSubjectChar">
    <w:name w:val="Comment Subject Char"/>
    <w:basedOn w:val="CommentTextChar"/>
    <w:link w:val="CommentSubject"/>
    <w:semiHidden/>
    <w:rsid w:val="00BE3E4F"/>
    <w:rPr>
      <w:b/>
      <w:bCs/>
    </w:rPr>
  </w:style>
  <w:style w:type="paragraph" w:styleId="Revision">
    <w:name w:val="Revision"/>
    <w:hidden/>
    <w:uiPriority w:val="99"/>
    <w:semiHidden/>
    <w:rsid w:val="006C7DA9"/>
    <w:rPr>
      <w:sz w:val="24"/>
      <w:szCs w:val="24"/>
    </w:rPr>
  </w:style>
  <w:style w:type="paragraph" w:styleId="ListParagraph">
    <w:name w:val="List Paragraph"/>
    <w:basedOn w:val="Normal"/>
    <w:uiPriority w:val="34"/>
    <w:qFormat/>
    <w:rsid w:val="005D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3921</Characters>
  <Application>Microsoft Office Word</Application>
  <DocSecurity>4</DocSecurity>
  <Lines>93</Lines>
  <Paragraphs>30</Paragraphs>
  <ScaleCrop>false</ScaleCrop>
  <HeadingPairs>
    <vt:vector size="2" baseType="variant">
      <vt:variant>
        <vt:lpstr>Title</vt:lpstr>
      </vt:variant>
      <vt:variant>
        <vt:i4>1</vt:i4>
      </vt:variant>
    </vt:vector>
  </HeadingPairs>
  <TitlesOfParts>
    <vt:vector size="1" baseType="lpstr">
      <vt:lpstr>BA - HB00069 (Committee Report (Substituted))</vt:lpstr>
    </vt:vector>
  </TitlesOfParts>
  <Company>State of Texas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22905</dc:subject>
  <dc:creator>State of Texas</dc:creator>
  <dc:description>HB 69 by Minjarez-(H)Business &amp; Industry (Substitute Document Number: 86R 12427)</dc:description>
  <cp:lastModifiedBy>Stacey Nicchio</cp:lastModifiedBy>
  <cp:revision>2</cp:revision>
  <cp:lastPrinted>2019-03-28T23:24:00Z</cp:lastPrinted>
  <dcterms:created xsi:type="dcterms:W3CDTF">2019-04-12T23:38:00Z</dcterms:created>
  <dcterms:modified xsi:type="dcterms:W3CDTF">2019-04-12T23:38:00Z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19.88.728</vt:lpwstr>
  </property>
</Properties>
</file>