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4E31" w:rsidTr="00345119">
        <w:tc>
          <w:tcPr>
            <w:tcW w:w="9576" w:type="dxa"/>
            <w:noWrap/>
          </w:tcPr>
          <w:p w:rsidR="008423E4" w:rsidRPr="0022177D" w:rsidRDefault="009C0A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0AC3" w:rsidP="008423E4">
      <w:pPr>
        <w:jc w:val="center"/>
      </w:pPr>
    </w:p>
    <w:p w:rsidR="008423E4" w:rsidRPr="00B31F0E" w:rsidRDefault="009C0AC3" w:rsidP="008423E4"/>
    <w:p w:rsidR="008423E4" w:rsidRPr="00742794" w:rsidRDefault="009C0A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4E31" w:rsidTr="00345119">
        <w:tc>
          <w:tcPr>
            <w:tcW w:w="9576" w:type="dxa"/>
          </w:tcPr>
          <w:p w:rsidR="008423E4" w:rsidRPr="00861995" w:rsidRDefault="009C0AC3" w:rsidP="001C1950">
            <w:pPr>
              <w:jc w:val="right"/>
            </w:pPr>
            <w:r>
              <w:t>C.S.H.B. 70</w:t>
            </w:r>
          </w:p>
        </w:tc>
      </w:tr>
      <w:tr w:rsidR="00074E31" w:rsidTr="00345119">
        <w:tc>
          <w:tcPr>
            <w:tcW w:w="9576" w:type="dxa"/>
          </w:tcPr>
          <w:p w:rsidR="008423E4" w:rsidRPr="00861995" w:rsidRDefault="009C0AC3" w:rsidP="00FC33B9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074E31" w:rsidTr="00345119">
        <w:tc>
          <w:tcPr>
            <w:tcW w:w="9576" w:type="dxa"/>
          </w:tcPr>
          <w:p w:rsidR="008423E4" w:rsidRPr="00861995" w:rsidRDefault="009C0AC3" w:rsidP="001C1950">
            <w:pPr>
              <w:jc w:val="right"/>
            </w:pPr>
            <w:r>
              <w:t>Agriculture &amp; Livestock</w:t>
            </w:r>
          </w:p>
        </w:tc>
      </w:tr>
      <w:tr w:rsidR="00074E31" w:rsidTr="00345119">
        <w:tc>
          <w:tcPr>
            <w:tcW w:w="9576" w:type="dxa"/>
          </w:tcPr>
          <w:p w:rsidR="008423E4" w:rsidRDefault="009C0AC3" w:rsidP="001C195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C0AC3" w:rsidP="008423E4">
      <w:pPr>
        <w:tabs>
          <w:tab w:val="right" w:pos="9360"/>
        </w:tabs>
      </w:pPr>
    </w:p>
    <w:p w:rsidR="008423E4" w:rsidRDefault="009C0AC3" w:rsidP="008423E4"/>
    <w:p w:rsidR="008423E4" w:rsidRDefault="009C0A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4E31" w:rsidTr="00345119">
        <w:tc>
          <w:tcPr>
            <w:tcW w:w="9576" w:type="dxa"/>
          </w:tcPr>
          <w:p w:rsidR="008423E4" w:rsidRPr="00A8133F" w:rsidRDefault="009C0AC3" w:rsidP="008440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0AC3" w:rsidP="00844074"/>
          <w:p w:rsidR="008423E4" w:rsidRDefault="009C0AC3" w:rsidP="008440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crops</w:t>
            </w:r>
            <w:r>
              <w:t xml:space="preserve"> in Texas</w:t>
            </w:r>
            <w:r>
              <w:t xml:space="preserve"> are subject to disease</w:t>
            </w:r>
            <w:r>
              <w:t>s</w:t>
            </w:r>
            <w:r>
              <w:t xml:space="preserve"> and pests</w:t>
            </w:r>
            <w:r>
              <w:t xml:space="preserve"> </w:t>
            </w:r>
            <w:r>
              <w:t>which</w:t>
            </w:r>
            <w:r>
              <w:t xml:space="preserve"> carry an economic cost to the state.</w:t>
            </w:r>
            <w:r>
              <w:t xml:space="preserve"> </w:t>
            </w:r>
            <w:r>
              <w:t>C.S.</w:t>
            </w:r>
            <w:r>
              <w:t xml:space="preserve">H.B. 70 </w:t>
            </w:r>
            <w:r>
              <w:t xml:space="preserve">seeks to address this issue by </w:t>
            </w:r>
            <w:r w:rsidRPr="00B22B64">
              <w:t>requir</w:t>
            </w:r>
            <w:r>
              <w:t>ing</w:t>
            </w:r>
            <w:r w:rsidRPr="00B22B64">
              <w:t xml:space="preserve"> the Department of Agriculture to include in its strategic plan of operation a goal of preventing crop diseases</w:t>
            </w:r>
            <w:r>
              <w:t xml:space="preserve"> and plant pests</w:t>
            </w:r>
            <w:r w:rsidRPr="00B22B64">
              <w:t xml:space="preserve"> in Texas</w:t>
            </w:r>
            <w:r>
              <w:t>.</w:t>
            </w:r>
          </w:p>
          <w:p w:rsidR="008423E4" w:rsidRPr="00E26B13" w:rsidRDefault="009C0AC3" w:rsidP="00844074">
            <w:pPr>
              <w:rPr>
                <w:b/>
              </w:rPr>
            </w:pPr>
          </w:p>
        </w:tc>
      </w:tr>
      <w:tr w:rsidR="00074E31" w:rsidTr="00345119">
        <w:tc>
          <w:tcPr>
            <w:tcW w:w="9576" w:type="dxa"/>
          </w:tcPr>
          <w:p w:rsidR="0017725B" w:rsidRDefault="009C0AC3" w:rsidP="008440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0AC3" w:rsidP="00844074">
            <w:pPr>
              <w:rPr>
                <w:b/>
                <w:u w:val="single"/>
              </w:rPr>
            </w:pPr>
          </w:p>
          <w:p w:rsidR="00392E1A" w:rsidRPr="00392E1A" w:rsidRDefault="009C0AC3" w:rsidP="00844074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C0AC3" w:rsidP="00844074">
            <w:pPr>
              <w:rPr>
                <w:b/>
                <w:u w:val="single"/>
              </w:rPr>
            </w:pPr>
          </w:p>
        </w:tc>
      </w:tr>
      <w:tr w:rsidR="00074E31" w:rsidTr="00345119">
        <w:tc>
          <w:tcPr>
            <w:tcW w:w="9576" w:type="dxa"/>
          </w:tcPr>
          <w:p w:rsidR="008423E4" w:rsidRPr="00A8133F" w:rsidRDefault="009C0AC3" w:rsidP="008440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0AC3" w:rsidP="00844074"/>
          <w:p w:rsidR="00392E1A" w:rsidRDefault="009C0AC3" w:rsidP="008440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9C0AC3" w:rsidP="00844074">
            <w:pPr>
              <w:rPr>
                <w:b/>
              </w:rPr>
            </w:pPr>
          </w:p>
        </w:tc>
      </w:tr>
      <w:tr w:rsidR="00074E31" w:rsidTr="00345119">
        <w:tc>
          <w:tcPr>
            <w:tcW w:w="9576" w:type="dxa"/>
          </w:tcPr>
          <w:p w:rsidR="008423E4" w:rsidRPr="00A8133F" w:rsidRDefault="009C0AC3" w:rsidP="008440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0AC3" w:rsidP="00844074"/>
          <w:p w:rsidR="00B81DBD" w:rsidRDefault="009C0AC3" w:rsidP="00844074">
            <w:pPr>
              <w:pStyle w:val="Header"/>
              <w:jc w:val="both"/>
            </w:pPr>
            <w:r>
              <w:t>C.S.</w:t>
            </w:r>
            <w:r>
              <w:t>H.B. 70 amends the Agriculture Code to require the Department of Agriculture (</w:t>
            </w:r>
            <w:r>
              <w:t xml:space="preserve">TDA) to </w:t>
            </w:r>
            <w:r w:rsidRPr="00915DDF">
              <w:t xml:space="preserve">include in </w:t>
            </w:r>
            <w:r>
              <w:t>it</w:t>
            </w:r>
            <w:r w:rsidRPr="00915DDF">
              <w:t xml:space="preserve">s </w:t>
            </w:r>
            <w:r>
              <w:t xml:space="preserve">required </w:t>
            </w:r>
            <w:r w:rsidRPr="00915DDF">
              <w:t xml:space="preserve">strategic plan </w:t>
            </w:r>
            <w:r>
              <w:t xml:space="preserve">of operation </w:t>
            </w:r>
            <w:r w:rsidRPr="00915DDF">
              <w:t>a goal of preventing crop diseases</w:t>
            </w:r>
            <w:r>
              <w:t xml:space="preserve"> </w:t>
            </w:r>
            <w:r w:rsidRPr="00B71849">
              <w:t>and plant pests</w:t>
            </w:r>
            <w:r w:rsidRPr="00915DDF">
              <w:t xml:space="preserve"> in </w:t>
            </w:r>
            <w:r>
              <w:t>Texas</w:t>
            </w:r>
            <w:r w:rsidRPr="00915DDF">
              <w:t xml:space="preserve"> by</w:t>
            </w:r>
            <w:r>
              <w:t>: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improving the </w:t>
            </w:r>
            <w:r>
              <w:t>TDA</w:t>
            </w:r>
            <w:r>
              <w:t>'s preventative management practices concerning crop diseases</w:t>
            </w:r>
            <w:r>
              <w:t xml:space="preserve"> </w:t>
            </w:r>
            <w:r w:rsidRPr="00B71849">
              <w:t>and plant pests</w:t>
            </w:r>
            <w:r>
              <w:t xml:space="preserve">; 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increasing the performance of activ</w:t>
            </w:r>
            <w:r>
              <w:t>ities directly related to crop disease</w:t>
            </w:r>
            <w:r>
              <w:t xml:space="preserve"> </w:t>
            </w:r>
            <w:r w:rsidRPr="00B71849">
              <w:t>and plant pest</w:t>
            </w:r>
            <w:r>
              <w:t xml:space="preserve"> prevention; 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creating and implementing a strong surveillance program that includes </w:t>
            </w:r>
            <w:r>
              <w:t xml:space="preserve">certain </w:t>
            </w:r>
            <w:r>
              <w:t>activities;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evaluating the </w:t>
            </w:r>
            <w:r>
              <w:t>TDA</w:t>
            </w:r>
            <w:r>
              <w:t xml:space="preserve">'s diagnostic procedures to ensure the performance of diagnostic evaluations and </w:t>
            </w:r>
            <w:r>
              <w:t>investigations occurs timely and accurately;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improving the effectiveness of the </w:t>
            </w:r>
            <w:r>
              <w:t>TDA</w:t>
            </w:r>
            <w:r>
              <w:t xml:space="preserve">'s control and eradication methods; 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evaluating and expanding, if necessary, the </w:t>
            </w:r>
            <w:r>
              <w:t>TDA</w:t>
            </w:r>
            <w:r>
              <w:t>'s emergency management activities related to crop diseases</w:t>
            </w:r>
            <w:r>
              <w:t xml:space="preserve"> </w:t>
            </w:r>
            <w:r w:rsidRPr="00B71849">
              <w:t>and plant pests</w:t>
            </w:r>
            <w:r>
              <w:t xml:space="preserve">; and </w:t>
            </w:r>
          </w:p>
          <w:p w:rsidR="00B81DBD" w:rsidRDefault="009C0AC3" w:rsidP="0084407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address</w:t>
            </w:r>
            <w:r>
              <w:t xml:space="preserve">ing how the </w:t>
            </w:r>
            <w:r>
              <w:t xml:space="preserve">TDA </w:t>
            </w:r>
            <w:r>
              <w:t xml:space="preserve">will educate farmers, agricultural producers, and communities that sustain agriculture in </w:t>
            </w:r>
            <w:r>
              <w:t>Texas</w:t>
            </w:r>
            <w:r>
              <w:t xml:space="preserve"> about crop disease</w:t>
            </w:r>
            <w:r>
              <w:t xml:space="preserve"> </w:t>
            </w:r>
            <w:r w:rsidRPr="00B71849">
              <w:t>and plant pest</w:t>
            </w:r>
            <w:r>
              <w:t xml:space="preserve"> prevention. </w:t>
            </w:r>
          </w:p>
          <w:p w:rsidR="008423E4" w:rsidRDefault="009C0AC3" w:rsidP="00844074">
            <w:pPr>
              <w:pStyle w:val="Header"/>
              <w:jc w:val="both"/>
            </w:pPr>
            <w:r w:rsidRPr="00915DDF">
              <w:t xml:space="preserve">The </w:t>
            </w:r>
            <w:r>
              <w:t>bill requires the TDA</w:t>
            </w:r>
            <w:r w:rsidRPr="00915DDF">
              <w:t xml:space="preserve">, using existing funds, </w:t>
            </w:r>
            <w:r>
              <w:t xml:space="preserve">to </w:t>
            </w:r>
            <w:r w:rsidRPr="00915DDF">
              <w:t>include in the first strategic plan</w:t>
            </w:r>
            <w:r>
              <w:t xml:space="preserve"> of operat</w:t>
            </w:r>
            <w:r>
              <w:t>ion</w:t>
            </w:r>
            <w:r w:rsidRPr="00915DDF">
              <w:t xml:space="preserve"> issued after the </w:t>
            </w:r>
            <w:r>
              <w:t xml:space="preserve">bill's </w:t>
            </w:r>
            <w:r w:rsidRPr="00915DDF">
              <w:t xml:space="preserve">effective date the goal and methods of implementing the goal required by </w:t>
            </w:r>
            <w:r>
              <w:t>the bill.</w:t>
            </w:r>
          </w:p>
          <w:p w:rsidR="008423E4" w:rsidRPr="00835628" w:rsidRDefault="009C0AC3" w:rsidP="00844074">
            <w:pPr>
              <w:rPr>
                <w:b/>
              </w:rPr>
            </w:pPr>
          </w:p>
        </w:tc>
      </w:tr>
      <w:tr w:rsidR="00074E31" w:rsidTr="00345119">
        <w:tc>
          <w:tcPr>
            <w:tcW w:w="9576" w:type="dxa"/>
          </w:tcPr>
          <w:p w:rsidR="008423E4" w:rsidRPr="00A8133F" w:rsidRDefault="009C0AC3" w:rsidP="008440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0AC3" w:rsidP="00844074"/>
          <w:p w:rsidR="008423E4" w:rsidRDefault="009C0AC3" w:rsidP="008440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92E1A">
              <w:t>September 1, 2019.</w:t>
            </w:r>
          </w:p>
          <w:p w:rsidR="002B32EC" w:rsidRPr="00233FDB" w:rsidRDefault="009C0AC3" w:rsidP="008440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74E31" w:rsidTr="00345119">
        <w:tc>
          <w:tcPr>
            <w:tcW w:w="9576" w:type="dxa"/>
          </w:tcPr>
          <w:p w:rsidR="00FC33B9" w:rsidRDefault="009C0AC3" w:rsidP="008440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71849" w:rsidRDefault="009C0AC3" w:rsidP="00844074">
            <w:pPr>
              <w:jc w:val="both"/>
            </w:pPr>
          </w:p>
          <w:p w:rsidR="00053B32" w:rsidRDefault="009C0AC3" w:rsidP="00844074">
            <w:pPr>
              <w:jc w:val="both"/>
            </w:pPr>
            <w:r>
              <w:t xml:space="preserve">While C.S.H.B. 70 may differ from the original in minor or nonsubstantive ways, the following summarizes the substantial differences between the introduced and committee substitute versions of the bill. </w:t>
            </w:r>
          </w:p>
          <w:p w:rsidR="00053B32" w:rsidRDefault="009C0AC3" w:rsidP="00844074">
            <w:pPr>
              <w:jc w:val="both"/>
            </w:pPr>
          </w:p>
          <w:p w:rsidR="00B71849" w:rsidRDefault="009C0AC3" w:rsidP="00844074">
            <w:pPr>
              <w:jc w:val="both"/>
            </w:pPr>
            <w:r>
              <w:t xml:space="preserve">The substitute </w:t>
            </w:r>
            <w:r>
              <w:t>includes the prevention of plant pes</w:t>
            </w:r>
            <w:r>
              <w:t>ts in Texas as a</w:t>
            </w:r>
            <w:r>
              <w:t xml:space="preserve"> goal that the TDA is required to include in its </w:t>
            </w:r>
            <w:r w:rsidRPr="00053B32">
              <w:t>strategic plan of operation</w:t>
            </w:r>
            <w:r>
              <w:t xml:space="preserve">. </w:t>
            </w:r>
          </w:p>
          <w:p w:rsidR="00B71849" w:rsidRPr="00B71849" w:rsidRDefault="009C0AC3" w:rsidP="00844074">
            <w:pPr>
              <w:jc w:val="both"/>
            </w:pPr>
          </w:p>
        </w:tc>
      </w:tr>
      <w:tr w:rsidR="00074E31" w:rsidTr="00345119">
        <w:tc>
          <w:tcPr>
            <w:tcW w:w="9576" w:type="dxa"/>
          </w:tcPr>
          <w:p w:rsidR="00FC33B9" w:rsidRPr="009C1E9A" w:rsidRDefault="009C0AC3" w:rsidP="00844074">
            <w:pPr>
              <w:rPr>
                <w:b/>
                <w:u w:val="single"/>
              </w:rPr>
            </w:pPr>
          </w:p>
        </w:tc>
      </w:tr>
      <w:tr w:rsidR="00074E31" w:rsidTr="00345119">
        <w:tc>
          <w:tcPr>
            <w:tcW w:w="9576" w:type="dxa"/>
          </w:tcPr>
          <w:p w:rsidR="00FC33B9" w:rsidRPr="00FC33B9" w:rsidRDefault="009C0AC3" w:rsidP="00844074">
            <w:pPr>
              <w:jc w:val="both"/>
            </w:pPr>
          </w:p>
        </w:tc>
      </w:tr>
    </w:tbl>
    <w:p w:rsidR="008423E4" w:rsidRPr="00BE0E75" w:rsidRDefault="009C0A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0A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AC3">
      <w:r>
        <w:separator/>
      </w:r>
    </w:p>
  </w:endnote>
  <w:endnote w:type="continuationSeparator" w:id="0">
    <w:p w:rsidR="00000000" w:rsidRDefault="009C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4E31" w:rsidTr="009C1E9A">
      <w:trPr>
        <w:cantSplit/>
      </w:trPr>
      <w:tc>
        <w:tcPr>
          <w:tcW w:w="0" w:type="pct"/>
        </w:tcPr>
        <w:p w:rsidR="00137D90" w:rsidRDefault="009C0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0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0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0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0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E31" w:rsidTr="009C1E9A">
      <w:trPr>
        <w:cantSplit/>
      </w:trPr>
      <w:tc>
        <w:tcPr>
          <w:tcW w:w="0" w:type="pct"/>
        </w:tcPr>
        <w:p w:rsidR="00EC379B" w:rsidRDefault="009C0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0AC3" w:rsidP="001C195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22272</w:t>
          </w:r>
        </w:p>
      </w:tc>
      <w:tc>
        <w:tcPr>
          <w:tcW w:w="2453" w:type="pct"/>
        </w:tcPr>
        <w:p w:rsidR="00EC379B" w:rsidRDefault="009C0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19.85.464</w:t>
          </w:r>
          <w:r>
            <w:fldChar w:fldCharType="end"/>
          </w:r>
        </w:p>
      </w:tc>
    </w:tr>
    <w:tr w:rsidR="00074E31" w:rsidTr="009C1E9A">
      <w:trPr>
        <w:cantSplit/>
      </w:trPr>
      <w:tc>
        <w:tcPr>
          <w:tcW w:w="0" w:type="pct"/>
        </w:tcPr>
        <w:p w:rsidR="00EC379B" w:rsidRDefault="009C0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0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20921</w:t>
          </w:r>
        </w:p>
      </w:tc>
      <w:tc>
        <w:tcPr>
          <w:tcW w:w="2453" w:type="pct"/>
        </w:tcPr>
        <w:p w:rsidR="00EC379B" w:rsidRDefault="009C0AC3" w:rsidP="006D504F">
          <w:pPr>
            <w:pStyle w:val="Footer"/>
            <w:rPr>
              <w:rStyle w:val="PageNumber"/>
            </w:rPr>
          </w:pPr>
        </w:p>
        <w:p w:rsidR="00EC379B" w:rsidRDefault="009C0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4E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0A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C0A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0A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AC3">
      <w:r>
        <w:separator/>
      </w:r>
    </w:p>
  </w:footnote>
  <w:footnote w:type="continuationSeparator" w:id="0">
    <w:p w:rsidR="00000000" w:rsidRDefault="009C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3142"/>
    <w:multiLevelType w:val="hybridMultilevel"/>
    <w:tmpl w:val="F6D6FBAC"/>
    <w:lvl w:ilvl="0" w:tplc="7A72D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4F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23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45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29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7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21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21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6F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31"/>
    <w:rsid w:val="00074E31"/>
    <w:rsid w:val="009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22AF4-714A-4D84-81F6-BDB8886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09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4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HB00070 (Committee Report (Substituted))</vt:lpstr>
    </vt:vector>
  </TitlesOfParts>
  <Company>State of Texas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22272</dc:subject>
  <dc:creator>State of Texas</dc:creator>
  <dc:description>HB 70 by González, Mary-(H)Agriculture &amp; Livestock (Substitute Document Number: 86R 20921)</dc:description>
  <cp:lastModifiedBy>Scotty Wimberley</cp:lastModifiedBy>
  <cp:revision>2</cp:revision>
  <cp:lastPrinted>2003-11-26T17:21:00Z</cp:lastPrinted>
  <dcterms:created xsi:type="dcterms:W3CDTF">2019-04-04T14:31:00Z</dcterms:created>
  <dcterms:modified xsi:type="dcterms:W3CDTF">2019-04-04T14:31:00Z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19.85.464</vt:lpwstr>
  </property>
</Properties>
</file>