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5F22" w:rsidTr="00345119">
        <w:tc>
          <w:tcPr>
            <w:tcW w:w="9576" w:type="dxa"/>
            <w:noWrap/>
          </w:tcPr>
          <w:p w:rsidR="008423E4" w:rsidRPr="0022177D" w:rsidRDefault="00402C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2C9A" w:rsidP="008423E4">
      <w:pPr>
        <w:jc w:val="center"/>
      </w:pPr>
    </w:p>
    <w:p w:rsidR="008423E4" w:rsidRPr="00B31F0E" w:rsidRDefault="00402C9A" w:rsidP="008423E4"/>
    <w:p w:rsidR="008423E4" w:rsidRPr="00742794" w:rsidRDefault="00402C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5F22" w:rsidTr="00345119">
        <w:tc>
          <w:tcPr>
            <w:tcW w:w="9576" w:type="dxa"/>
          </w:tcPr>
          <w:p w:rsidR="008423E4" w:rsidRPr="00861995" w:rsidRDefault="00402C9A" w:rsidP="00345119">
            <w:pPr>
              <w:jc w:val="right"/>
            </w:pPr>
            <w:r>
              <w:t>H.B. 83</w:t>
            </w:r>
          </w:p>
        </w:tc>
      </w:tr>
      <w:tr w:rsidR="00D55F22" w:rsidTr="00345119">
        <w:tc>
          <w:tcPr>
            <w:tcW w:w="9576" w:type="dxa"/>
          </w:tcPr>
          <w:p w:rsidR="008423E4" w:rsidRPr="00861995" w:rsidRDefault="00402C9A" w:rsidP="00FA3F7D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D55F22" w:rsidTr="00345119">
        <w:tc>
          <w:tcPr>
            <w:tcW w:w="9576" w:type="dxa"/>
          </w:tcPr>
          <w:p w:rsidR="008423E4" w:rsidRPr="00861995" w:rsidRDefault="00402C9A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D55F22" w:rsidTr="00345119">
        <w:tc>
          <w:tcPr>
            <w:tcW w:w="9576" w:type="dxa"/>
          </w:tcPr>
          <w:p w:rsidR="008423E4" w:rsidRDefault="00402C9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02C9A" w:rsidP="008423E4">
      <w:pPr>
        <w:tabs>
          <w:tab w:val="right" w:pos="9360"/>
        </w:tabs>
      </w:pPr>
    </w:p>
    <w:p w:rsidR="008423E4" w:rsidRDefault="00402C9A" w:rsidP="008423E4"/>
    <w:p w:rsidR="008423E4" w:rsidRDefault="00402C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5F22" w:rsidTr="00345119">
        <w:tc>
          <w:tcPr>
            <w:tcW w:w="9576" w:type="dxa"/>
          </w:tcPr>
          <w:p w:rsidR="008423E4" w:rsidRPr="00A8133F" w:rsidRDefault="00402C9A" w:rsidP="002139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2C9A" w:rsidP="0021396C"/>
          <w:p w:rsidR="008423E4" w:rsidRDefault="00402C9A" w:rsidP="0021396C">
            <w:pPr>
              <w:pStyle w:val="Header"/>
              <w:jc w:val="both"/>
            </w:pPr>
            <w:r>
              <w:t xml:space="preserve">Concerns have been raised regarding </w:t>
            </w:r>
            <w:r>
              <w:t xml:space="preserve">the enforcement of state law relating to </w:t>
            </w:r>
            <w:r>
              <w:t xml:space="preserve">wage </w:t>
            </w:r>
            <w:r>
              <w:t>theft</w:t>
            </w:r>
            <w:r>
              <w:t xml:space="preserve">. H.B. 83 seeks to standardize that enforcement by </w:t>
            </w:r>
            <w:r>
              <w:t>requiring</w:t>
            </w:r>
            <w:r>
              <w:t xml:space="preserve"> the assessment of administrative penalties against employers </w:t>
            </w:r>
            <w:r>
              <w:t>found to have acted in bad faith and by defining more clearly what constitutes bad faith in the context of wage payment.</w:t>
            </w:r>
            <w:r>
              <w:t xml:space="preserve"> </w:t>
            </w:r>
          </w:p>
          <w:p w:rsidR="008423E4" w:rsidRPr="00E26B13" w:rsidRDefault="00402C9A" w:rsidP="0021396C">
            <w:pPr>
              <w:rPr>
                <w:b/>
              </w:rPr>
            </w:pPr>
          </w:p>
        </w:tc>
      </w:tr>
      <w:tr w:rsidR="00D55F22" w:rsidTr="00345119">
        <w:tc>
          <w:tcPr>
            <w:tcW w:w="9576" w:type="dxa"/>
          </w:tcPr>
          <w:p w:rsidR="0017725B" w:rsidRDefault="00402C9A" w:rsidP="002139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402C9A" w:rsidP="0021396C">
            <w:pPr>
              <w:rPr>
                <w:b/>
                <w:u w:val="single"/>
              </w:rPr>
            </w:pPr>
          </w:p>
          <w:p w:rsidR="00265F57" w:rsidRPr="00265F57" w:rsidRDefault="00402C9A" w:rsidP="0021396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402C9A" w:rsidP="0021396C">
            <w:pPr>
              <w:rPr>
                <w:b/>
                <w:u w:val="single"/>
              </w:rPr>
            </w:pPr>
          </w:p>
        </w:tc>
      </w:tr>
      <w:tr w:rsidR="00D55F22" w:rsidTr="00345119">
        <w:tc>
          <w:tcPr>
            <w:tcW w:w="9576" w:type="dxa"/>
          </w:tcPr>
          <w:p w:rsidR="008423E4" w:rsidRPr="00A8133F" w:rsidRDefault="00402C9A" w:rsidP="002139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2C9A" w:rsidP="0021396C"/>
          <w:p w:rsidR="00265F57" w:rsidRDefault="00402C9A" w:rsidP="002139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02C9A" w:rsidP="0021396C">
            <w:pPr>
              <w:rPr>
                <w:b/>
              </w:rPr>
            </w:pPr>
          </w:p>
        </w:tc>
      </w:tr>
      <w:tr w:rsidR="00D55F22" w:rsidTr="00345119">
        <w:tc>
          <w:tcPr>
            <w:tcW w:w="9576" w:type="dxa"/>
          </w:tcPr>
          <w:p w:rsidR="008423E4" w:rsidRPr="00A8133F" w:rsidRDefault="00402C9A" w:rsidP="002139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2C9A" w:rsidP="0021396C"/>
          <w:p w:rsidR="0069189B" w:rsidRDefault="00402C9A" w:rsidP="002139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83 amends the Labor Code to </w:t>
            </w:r>
            <w:r>
              <w:t xml:space="preserve">replace the authorization for </w:t>
            </w:r>
            <w:r>
              <w:t xml:space="preserve">a </w:t>
            </w:r>
            <w:r>
              <w:t>Texas Workforce Commission (TWC) examiner, a wage claim appeal tribunal, or the TWC to assess an administrative penalty</w:t>
            </w:r>
            <w:r>
              <w:t xml:space="preserve"> against an employer</w:t>
            </w:r>
            <w:r>
              <w:t xml:space="preserve"> if the examiner, the tribunal, or the TWC determine</w:t>
            </w:r>
            <w:r>
              <w:t xml:space="preserve">s that the employer acted in bad faith in not paying wages as required by </w:t>
            </w:r>
            <w:r>
              <w:t>state law</w:t>
            </w:r>
            <w:r>
              <w:t xml:space="preserve"> with a </w:t>
            </w:r>
            <w:r>
              <w:t xml:space="preserve">requirement </w:t>
            </w:r>
            <w:r>
              <w:t xml:space="preserve">for the examiner, the tribunal, or the TWC </w:t>
            </w:r>
            <w:r>
              <w:t>to do so</w:t>
            </w:r>
            <w:r>
              <w:t xml:space="preserve">. The bill </w:t>
            </w:r>
            <w:r>
              <w:t>establishes</w:t>
            </w:r>
            <w:r>
              <w:t xml:space="preserve"> that</w:t>
            </w:r>
            <w:r>
              <w:t>,</w:t>
            </w:r>
            <w:r>
              <w:t xml:space="preserve"> for purposes of this requirement,</w:t>
            </w:r>
            <w:r>
              <w:t xml:space="preserve"> acts that constitute bad faith by an em</w:t>
            </w:r>
            <w:r>
              <w:t>ployer include</w:t>
            </w:r>
            <w:r>
              <w:t xml:space="preserve"> the following:</w:t>
            </w:r>
          </w:p>
          <w:p w:rsidR="0069189B" w:rsidRDefault="00402C9A" w:rsidP="00215A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history of previous violations of statutory provisions relating </w:t>
            </w:r>
            <w:r>
              <w:t xml:space="preserve">to </w:t>
            </w:r>
            <w:r>
              <w:t>the payment of wages</w:t>
            </w:r>
            <w:r>
              <w:t xml:space="preserve">; </w:t>
            </w:r>
          </w:p>
          <w:p w:rsidR="0069189B" w:rsidRDefault="00402C9A" w:rsidP="00215A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actions showing reckless disregard of the requirements of those </w:t>
            </w:r>
            <w:r>
              <w:t xml:space="preserve">statutory </w:t>
            </w:r>
            <w:r>
              <w:t>provisions</w:t>
            </w:r>
            <w:r>
              <w:t xml:space="preserve">; </w:t>
            </w:r>
          </w:p>
          <w:p w:rsidR="0069189B" w:rsidRDefault="00402C9A" w:rsidP="00215A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failure to pay wages to an employee as an act o</w:t>
            </w:r>
            <w:r>
              <w:t>f discrimination or retaliation against the employee</w:t>
            </w:r>
            <w:r>
              <w:t xml:space="preserve">; </w:t>
            </w:r>
          </w:p>
          <w:p w:rsidR="0069189B" w:rsidRDefault="00402C9A" w:rsidP="00215A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failure to pay wages to multiple employees at the same time</w:t>
            </w:r>
            <w:r>
              <w:t xml:space="preserve">; </w:t>
            </w:r>
            <w:r>
              <w:t xml:space="preserve">or </w:t>
            </w:r>
          </w:p>
          <w:p w:rsidR="00265F57" w:rsidRDefault="00402C9A" w:rsidP="00215A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failure to pay wages to an employee knowing that the failure was a violation of state law.</w:t>
            </w:r>
          </w:p>
          <w:p w:rsidR="008423E4" w:rsidRPr="00835628" w:rsidRDefault="00402C9A" w:rsidP="0021396C">
            <w:pPr>
              <w:rPr>
                <w:b/>
              </w:rPr>
            </w:pPr>
          </w:p>
        </w:tc>
      </w:tr>
      <w:tr w:rsidR="00D55F22" w:rsidTr="00345119">
        <w:tc>
          <w:tcPr>
            <w:tcW w:w="9576" w:type="dxa"/>
          </w:tcPr>
          <w:p w:rsidR="008423E4" w:rsidRPr="00A8133F" w:rsidRDefault="00402C9A" w:rsidP="002139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2C9A" w:rsidP="0021396C"/>
          <w:p w:rsidR="008423E4" w:rsidRPr="003624F2" w:rsidRDefault="00402C9A" w:rsidP="002139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02C9A" w:rsidP="0021396C">
            <w:pPr>
              <w:rPr>
                <w:b/>
              </w:rPr>
            </w:pPr>
          </w:p>
        </w:tc>
      </w:tr>
    </w:tbl>
    <w:p w:rsidR="008423E4" w:rsidRPr="00BE0E75" w:rsidRDefault="00402C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2C9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2C9A">
      <w:r>
        <w:separator/>
      </w:r>
    </w:p>
  </w:endnote>
  <w:endnote w:type="continuationSeparator" w:id="0">
    <w:p w:rsidR="00000000" w:rsidRDefault="0040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2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5F22" w:rsidTr="009C1E9A">
      <w:trPr>
        <w:cantSplit/>
      </w:trPr>
      <w:tc>
        <w:tcPr>
          <w:tcW w:w="0" w:type="pct"/>
        </w:tcPr>
        <w:p w:rsidR="00137D90" w:rsidRDefault="00402C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2C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2C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2C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2C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5F22" w:rsidTr="009C1E9A">
      <w:trPr>
        <w:cantSplit/>
      </w:trPr>
      <w:tc>
        <w:tcPr>
          <w:tcW w:w="0" w:type="pct"/>
        </w:tcPr>
        <w:p w:rsidR="00EC379B" w:rsidRDefault="00402C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2C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14886</w:t>
          </w:r>
        </w:p>
      </w:tc>
      <w:tc>
        <w:tcPr>
          <w:tcW w:w="2453" w:type="pct"/>
        </w:tcPr>
        <w:p w:rsidR="00EC379B" w:rsidRDefault="00402C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19.52.433</w:t>
          </w:r>
          <w:r>
            <w:fldChar w:fldCharType="end"/>
          </w:r>
        </w:p>
      </w:tc>
    </w:tr>
    <w:tr w:rsidR="00D55F22" w:rsidTr="009C1E9A">
      <w:trPr>
        <w:cantSplit/>
      </w:trPr>
      <w:tc>
        <w:tcPr>
          <w:tcW w:w="0" w:type="pct"/>
        </w:tcPr>
        <w:p w:rsidR="00EC379B" w:rsidRDefault="00402C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2C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02C9A" w:rsidP="006D504F">
          <w:pPr>
            <w:pStyle w:val="Footer"/>
            <w:rPr>
              <w:rStyle w:val="PageNumber"/>
            </w:rPr>
          </w:pPr>
        </w:p>
        <w:p w:rsidR="00EC379B" w:rsidRDefault="00402C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5F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2C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2C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2C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2C9A">
      <w:r>
        <w:separator/>
      </w:r>
    </w:p>
  </w:footnote>
  <w:footnote w:type="continuationSeparator" w:id="0">
    <w:p w:rsidR="00000000" w:rsidRDefault="0040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2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2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2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6E5B"/>
    <w:multiLevelType w:val="hybridMultilevel"/>
    <w:tmpl w:val="D11A8CF2"/>
    <w:lvl w:ilvl="0" w:tplc="BD366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68F8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2AEC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829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DAB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BE67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4646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3013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1E2F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8846F3"/>
    <w:multiLevelType w:val="hybridMultilevel"/>
    <w:tmpl w:val="2FE84122"/>
    <w:lvl w:ilvl="0" w:tplc="EFECF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2D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2E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2F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4E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01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A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2E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22"/>
    <w:rsid w:val="00402C9A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0CCE43-565A-493F-A650-B63EB35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5F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5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F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1660</Characters>
  <Application>Microsoft Office Word</Application>
  <DocSecurity>4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HB00083 (Committee Report (Unamended))</vt:lpstr>
    </vt:vector>
  </TitlesOfParts>
  <Company>State of Texas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14886</dc:subject>
  <dc:creator>State of Texas</dc:creator>
  <dc:description>HB 83 by Romero, Jr.-(H)International Relations &amp; Economic Development</dc:description>
  <cp:lastModifiedBy>Erin Conway</cp:lastModifiedBy>
  <cp:revision>2</cp:revision>
  <cp:lastPrinted>2003-11-26T17:21:00Z</cp:lastPrinted>
  <dcterms:created xsi:type="dcterms:W3CDTF">2019-03-22T15:27:00Z</dcterms:created>
  <dcterms:modified xsi:type="dcterms:W3CDTF">2019-03-22T15:27:00Z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19.52.433</vt:lpwstr>
  </property>
</Properties>
</file>