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310CA" w:rsidTr="00345119">
        <w:tc>
          <w:tcPr>
            <w:tcW w:w="9576" w:type="dxa"/>
            <w:noWrap/>
          </w:tcPr>
          <w:p w:rsidR="008423E4" w:rsidRPr="0022177D" w:rsidRDefault="00C60D6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60D62" w:rsidP="008423E4">
      <w:pPr>
        <w:jc w:val="center"/>
      </w:pPr>
    </w:p>
    <w:p w:rsidR="008423E4" w:rsidRPr="00B31F0E" w:rsidRDefault="00C60D62" w:rsidP="008423E4"/>
    <w:p w:rsidR="008423E4" w:rsidRPr="00742794" w:rsidRDefault="00C60D6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10CA" w:rsidTr="00345119">
        <w:tc>
          <w:tcPr>
            <w:tcW w:w="9576" w:type="dxa"/>
          </w:tcPr>
          <w:p w:rsidR="008423E4" w:rsidRPr="00861995" w:rsidRDefault="00C60D62" w:rsidP="00345119">
            <w:pPr>
              <w:jc w:val="right"/>
            </w:pPr>
            <w:r>
              <w:t>H.B. 92</w:t>
            </w:r>
          </w:p>
        </w:tc>
      </w:tr>
      <w:tr w:rsidR="001310CA" w:rsidTr="00345119">
        <w:tc>
          <w:tcPr>
            <w:tcW w:w="9576" w:type="dxa"/>
          </w:tcPr>
          <w:p w:rsidR="008423E4" w:rsidRPr="00861995" w:rsidRDefault="00C60D62" w:rsidP="00190C0D">
            <w:pPr>
              <w:jc w:val="right"/>
            </w:pPr>
            <w:r>
              <w:t xml:space="preserve">By: </w:t>
            </w:r>
            <w:r>
              <w:t>Rodriguez</w:t>
            </w:r>
          </w:p>
        </w:tc>
      </w:tr>
      <w:tr w:rsidR="001310CA" w:rsidTr="00345119">
        <w:tc>
          <w:tcPr>
            <w:tcW w:w="9576" w:type="dxa"/>
          </w:tcPr>
          <w:p w:rsidR="008423E4" w:rsidRPr="00861995" w:rsidRDefault="00C60D62" w:rsidP="00345119">
            <w:pPr>
              <w:jc w:val="right"/>
            </w:pPr>
            <w:r>
              <w:t>Public Education</w:t>
            </w:r>
          </w:p>
        </w:tc>
      </w:tr>
      <w:tr w:rsidR="001310CA" w:rsidTr="00345119">
        <w:tc>
          <w:tcPr>
            <w:tcW w:w="9576" w:type="dxa"/>
          </w:tcPr>
          <w:p w:rsidR="008423E4" w:rsidRDefault="00C60D6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60D62" w:rsidP="008423E4">
      <w:pPr>
        <w:tabs>
          <w:tab w:val="right" w:pos="9360"/>
        </w:tabs>
      </w:pPr>
    </w:p>
    <w:p w:rsidR="008423E4" w:rsidRDefault="00C60D62" w:rsidP="008423E4"/>
    <w:p w:rsidR="008423E4" w:rsidRDefault="00C60D6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310CA" w:rsidTr="00345119">
        <w:tc>
          <w:tcPr>
            <w:tcW w:w="9576" w:type="dxa"/>
          </w:tcPr>
          <w:p w:rsidR="00FC4298" w:rsidRPr="00A8133F" w:rsidRDefault="00C60D62" w:rsidP="00D170E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48187A" w:rsidRDefault="00C60D62" w:rsidP="00D170EF"/>
          <w:p w:rsidR="0048187A" w:rsidRDefault="00C60D62" w:rsidP="00D170EF">
            <w:pPr>
              <w:pStyle w:val="Header"/>
              <w:jc w:val="both"/>
            </w:pPr>
            <w:r>
              <w:t>It has been suggested that the community school</w:t>
            </w:r>
            <w:r>
              <w:t>s</w:t>
            </w:r>
            <w:r>
              <w:t xml:space="preserve"> model</w:t>
            </w:r>
            <w:r>
              <w:t xml:space="preserve"> under which families, educators, and the community partner together to address the unique need</w:t>
            </w:r>
            <w:r>
              <w:t>s of a school and its community</w:t>
            </w:r>
            <w:r>
              <w:t xml:space="preserve"> </w:t>
            </w:r>
            <w:r>
              <w:t>is</w:t>
            </w:r>
            <w:r>
              <w:t xml:space="preserve"> a successful strategy for improving school performance.</w:t>
            </w:r>
            <w:r>
              <w:t xml:space="preserve"> </w:t>
            </w:r>
            <w:r>
              <w:t>H.B. 92 seeks to expand access to this strategy by providing for a pub</w:t>
            </w:r>
            <w:r>
              <w:t>lic school campus's election under a campus turnaround plan to operate as a community school.</w:t>
            </w:r>
          </w:p>
          <w:p w:rsidR="008423E4" w:rsidRPr="00E26B13" w:rsidRDefault="00C60D62" w:rsidP="00D170EF">
            <w:pPr>
              <w:pStyle w:val="Header"/>
              <w:jc w:val="both"/>
            </w:pPr>
          </w:p>
        </w:tc>
      </w:tr>
      <w:tr w:rsidR="001310CA" w:rsidTr="00345119">
        <w:tc>
          <w:tcPr>
            <w:tcW w:w="9576" w:type="dxa"/>
          </w:tcPr>
          <w:p w:rsidR="0017725B" w:rsidRDefault="00C60D62" w:rsidP="00D170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60D62" w:rsidP="00D170EF">
            <w:pPr>
              <w:rPr>
                <w:b/>
                <w:u w:val="single"/>
              </w:rPr>
            </w:pPr>
          </w:p>
          <w:p w:rsidR="00DA7376" w:rsidRPr="00DA7376" w:rsidRDefault="00C60D62" w:rsidP="00D170EF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C60D62" w:rsidP="00D170EF">
            <w:pPr>
              <w:rPr>
                <w:b/>
                <w:u w:val="single"/>
              </w:rPr>
            </w:pPr>
          </w:p>
        </w:tc>
      </w:tr>
      <w:tr w:rsidR="001310CA" w:rsidTr="00345119">
        <w:tc>
          <w:tcPr>
            <w:tcW w:w="9576" w:type="dxa"/>
          </w:tcPr>
          <w:p w:rsidR="008423E4" w:rsidRPr="00A8133F" w:rsidRDefault="00C60D62" w:rsidP="00D170E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60D62" w:rsidP="00D170EF"/>
          <w:p w:rsidR="00DA7376" w:rsidRDefault="00C60D62" w:rsidP="00D170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C60D62" w:rsidP="00D170EF">
            <w:pPr>
              <w:rPr>
                <w:b/>
              </w:rPr>
            </w:pPr>
          </w:p>
        </w:tc>
      </w:tr>
      <w:tr w:rsidR="001310CA" w:rsidTr="00345119">
        <w:tc>
          <w:tcPr>
            <w:tcW w:w="9576" w:type="dxa"/>
          </w:tcPr>
          <w:p w:rsidR="008423E4" w:rsidRPr="00A8133F" w:rsidRDefault="00C60D62" w:rsidP="00D170E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60D62" w:rsidP="00D170EF"/>
          <w:p w:rsidR="00844D71" w:rsidRDefault="00C60D62" w:rsidP="00D170EF">
            <w:pPr>
              <w:pStyle w:val="Header"/>
              <w:jc w:val="both"/>
            </w:pPr>
            <w:r>
              <w:t xml:space="preserve">H.B. 92 amends the Education Code to </w:t>
            </w:r>
            <w:r>
              <w:t>authorize</w:t>
            </w:r>
            <w:r>
              <w:t xml:space="preserve"> </w:t>
            </w:r>
            <w:r>
              <w:t>a</w:t>
            </w:r>
            <w:r w:rsidRPr="002C7FDD">
              <w:t xml:space="preserve"> campus turnaround plan </w:t>
            </w:r>
            <w:r>
              <w:t xml:space="preserve">to </w:t>
            </w:r>
            <w:r>
              <w:t>p</w:t>
            </w:r>
            <w:r w:rsidRPr="002C7FDD">
              <w:t xml:space="preserve">ermit a </w:t>
            </w:r>
            <w:r>
              <w:t xml:space="preserve">public school </w:t>
            </w:r>
            <w:r w:rsidRPr="002C7FDD">
              <w:t>campus to</w:t>
            </w:r>
            <w:r>
              <w:t xml:space="preserve"> operate as a community school. The </w:t>
            </w:r>
            <w:r>
              <w:t xml:space="preserve">bill requires a </w:t>
            </w:r>
            <w:r>
              <w:t>p</w:t>
            </w:r>
            <w:r w:rsidRPr="002C7FDD">
              <w:t>lan</w:t>
            </w:r>
            <w:r>
              <w:t xml:space="preserve"> for operation as a community school</w:t>
            </w:r>
            <w:r w:rsidRPr="002C7FDD">
              <w:t xml:space="preserve"> </w:t>
            </w:r>
            <w:r>
              <w:t xml:space="preserve">to </w:t>
            </w:r>
            <w:r w:rsidRPr="002C7FDD">
              <w:t xml:space="preserve">include, in addition to the other requirements </w:t>
            </w:r>
            <w:r>
              <w:t>for campus turnaround plans</w:t>
            </w:r>
            <w:r w:rsidRPr="002C7FDD">
              <w:t>, strategies and programs to coordinate academic, social, and health services and reduce barriers to learning through partnerships and service</w:t>
            </w:r>
            <w:r w:rsidRPr="002C7FDD">
              <w:t xml:space="preserve"> coordination</w:t>
            </w:r>
            <w:r>
              <w:t xml:space="preserve">. The bill </w:t>
            </w:r>
            <w:r>
              <w:t>lists</w:t>
            </w:r>
            <w:r>
              <w:t xml:space="preserve"> programs and services </w:t>
            </w:r>
            <w:r>
              <w:t xml:space="preserve">that may be </w:t>
            </w:r>
            <w:r>
              <w:t>offered by a campus operating as a community school under a campus turnaround plan</w:t>
            </w:r>
            <w:r>
              <w:t xml:space="preserve">. </w:t>
            </w:r>
          </w:p>
          <w:p w:rsidR="00844D71" w:rsidRDefault="00C60D62" w:rsidP="00D170EF">
            <w:pPr>
              <w:pStyle w:val="Header"/>
              <w:jc w:val="both"/>
            </w:pPr>
          </w:p>
          <w:p w:rsidR="003509D0" w:rsidRDefault="00C60D62" w:rsidP="00D170EF">
            <w:pPr>
              <w:pStyle w:val="Header"/>
              <w:jc w:val="both"/>
            </w:pPr>
            <w:r>
              <w:t>H.B. 92</w:t>
            </w:r>
            <w:r>
              <w:t xml:space="preserve"> requires a campus that elects to operate as a community school under a campus turnaround plan to</w:t>
            </w:r>
            <w:r>
              <w:t xml:space="preserve"> d</w:t>
            </w:r>
            <w:r>
              <w:t>o the following:</w:t>
            </w:r>
          </w:p>
          <w:p w:rsidR="003509D0" w:rsidRDefault="00C60D62" w:rsidP="00D170E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255A30">
              <w:t xml:space="preserve">establish a school community partnership team, </w:t>
            </w:r>
            <w:r>
              <w:t xml:space="preserve">as specified by the bill, </w:t>
            </w:r>
            <w:r w:rsidRPr="00255A30">
              <w:t>to coordinate with the campus intervention team for the campus</w:t>
            </w:r>
            <w:r>
              <w:t xml:space="preserve">; </w:t>
            </w:r>
          </w:p>
          <w:p w:rsidR="003509D0" w:rsidRDefault="00C60D62" w:rsidP="00D170E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establish a partnership with a lead organization that has experience in developing and implementing a</w:t>
            </w:r>
            <w:r>
              <w:t xml:space="preserve"> community school plan; </w:t>
            </w:r>
          </w:p>
          <w:p w:rsidR="003509D0" w:rsidRDefault="00C60D62" w:rsidP="00D170E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E54830">
              <w:t>designate a school district employee or an employee of an organization with experience in developing and implementing a community school plan as the</w:t>
            </w:r>
            <w:r>
              <w:t xml:space="preserve"> campus</w:t>
            </w:r>
            <w:r w:rsidRPr="00E54830">
              <w:t xml:space="preserve"> community school coordinator, whose duties must include the recruitment and</w:t>
            </w:r>
            <w:r w:rsidRPr="00E54830">
              <w:t xml:space="preserve"> coordination of services from community partners</w:t>
            </w:r>
            <w:r>
              <w:t>;</w:t>
            </w:r>
            <w:r>
              <w:t xml:space="preserve"> </w:t>
            </w:r>
          </w:p>
          <w:p w:rsidR="003509D0" w:rsidRDefault="00C60D62" w:rsidP="00D170E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E54830">
              <w:t>develop a community school plan that satisfies the requirements for a campus improvement plan</w:t>
            </w:r>
            <w:r>
              <w:t xml:space="preserve"> under </w:t>
            </w:r>
            <w:r>
              <w:t>applicable state law</w:t>
            </w:r>
            <w:r>
              <w:t>;</w:t>
            </w:r>
            <w:r>
              <w:t xml:space="preserve"> and </w:t>
            </w:r>
          </w:p>
          <w:p w:rsidR="008423E4" w:rsidRDefault="00C60D62" w:rsidP="00D170E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obtain approval for the community school plan from at least 75 percent of cam</w:t>
            </w:r>
            <w:r>
              <w:t>pus faculty and staff</w:t>
            </w:r>
            <w:r>
              <w:t xml:space="preserve"> and </w:t>
            </w:r>
            <w:r>
              <w:t>75 percent of parents of students enrolled at the campus</w:t>
            </w:r>
            <w:r>
              <w:t xml:space="preserve"> and</w:t>
            </w:r>
            <w:r>
              <w:t xml:space="preserve"> from</w:t>
            </w:r>
            <w:r>
              <w:t xml:space="preserve"> </w:t>
            </w:r>
            <w:r>
              <w:t>the board of trustees of the school district in which the campus is located</w:t>
            </w:r>
            <w:r>
              <w:t>.</w:t>
            </w:r>
          </w:p>
          <w:p w:rsidR="008F6509" w:rsidRDefault="00C60D62" w:rsidP="00D170EF">
            <w:pPr>
              <w:pStyle w:val="Header"/>
              <w:jc w:val="both"/>
            </w:pPr>
          </w:p>
          <w:p w:rsidR="008F6509" w:rsidRDefault="00C60D62" w:rsidP="00D170EF">
            <w:pPr>
              <w:pStyle w:val="Header"/>
              <w:jc w:val="both"/>
            </w:pPr>
            <w:r>
              <w:t xml:space="preserve">H.B. 92 </w:t>
            </w:r>
            <w:r>
              <w:t>prohibits the commissioner of education from ordering the closure of a campus</w:t>
            </w:r>
            <w:r>
              <w:t xml:space="preserve"> </w:t>
            </w:r>
            <w:r>
              <w:rPr>
                <w:color w:val="000000"/>
              </w:rPr>
              <w:t>under provisions relating to public school accountability interventions and sanctions</w:t>
            </w:r>
            <w:r w:rsidRPr="008F6509">
              <w:t xml:space="preserve"> </w:t>
            </w:r>
            <w:r w:rsidRPr="008F6509">
              <w:t>without giving the campus the opportunity to operate as a community school under a campus</w:t>
            </w:r>
            <w:r>
              <w:t xml:space="preserve"> turnaround plan </w:t>
            </w:r>
            <w:r>
              <w:t xml:space="preserve">as provided by the bill's provisions </w:t>
            </w:r>
            <w:r w:rsidRPr="008F6509">
              <w:t xml:space="preserve">and </w:t>
            </w:r>
            <w:r>
              <w:t>without giving the camp</w:t>
            </w:r>
            <w:r>
              <w:t xml:space="preserve">us </w:t>
            </w:r>
            <w:r w:rsidRPr="008F6509">
              <w:t>at least two years to implement the campus's community school plan</w:t>
            </w:r>
            <w:r>
              <w:t>.</w:t>
            </w:r>
          </w:p>
          <w:p w:rsidR="008423E4" w:rsidRPr="00835628" w:rsidRDefault="00C60D62" w:rsidP="00D170EF">
            <w:pPr>
              <w:rPr>
                <w:b/>
              </w:rPr>
            </w:pPr>
          </w:p>
        </w:tc>
      </w:tr>
      <w:tr w:rsidR="001310CA" w:rsidTr="00345119">
        <w:tc>
          <w:tcPr>
            <w:tcW w:w="9576" w:type="dxa"/>
          </w:tcPr>
          <w:p w:rsidR="008423E4" w:rsidRPr="00A8133F" w:rsidRDefault="00C60D62" w:rsidP="00D170E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60D62" w:rsidP="00D170EF"/>
          <w:p w:rsidR="008423E4" w:rsidRPr="003624F2" w:rsidRDefault="00C60D62" w:rsidP="00D170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60D62" w:rsidP="00D170EF">
            <w:pPr>
              <w:rPr>
                <w:b/>
              </w:rPr>
            </w:pPr>
          </w:p>
        </w:tc>
      </w:tr>
    </w:tbl>
    <w:p w:rsidR="008423E4" w:rsidRPr="00BE0E75" w:rsidRDefault="00C60D6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60D6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0D62">
      <w:r>
        <w:separator/>
      </w:r>
    </w:p>
  </w:endnote>
  <w:endnote w:type="continuationSeparator" w:id="0">
    <w:p w:rsidR="00000000" w:rsidRDefault="00C6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60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10CA" w:rsidTr="009C1E9A">
      <w:trPr>
        <w:cantSplit/>
      </w:trPr>
      <w:tc>
        <w:tcPr>
          <w:tcW w:w="0" w:type="pct"/>
        </w:tcPr>
        <w:p w:rsidR="00137D90" w:rsidRDefault="00C60D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60D6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60D6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60D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60D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10CA" w:rsidTr="009C1E9A">
      <w:trPr>
        <w:cantSplit/>
      </w:trPr>
      <w:tc>
        <w:tcPr>
          <w:tcW w:w="0" w:type="pct"/>
        </w:tcPr>
        <w:p w:rsidR="00EC379B" w:rsidRDefault="00C60D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60D6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15122</w:t>
          </w:r>
        </w:p>
      </w:tc>
      <w:tc>
        <w:tcPr>
          <w:tcW w:w="2453" w:type="pct"/>
        </w:tcPr>
        <w:p w:rsidR="00EC379B" w:rsidRDefault="00C60D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19.53.307</w:t>
          </w:r>
          <w:r>
            <w:fldChar w:fldCharType="end"/>
          </w:r>
        </w:p>
      </w:tc>
    </w:tr>
    <w:tr w:rsidR="001310CA" w:rsidTr="009C1E9A">
      <w:trPr>
        <w:cantSplit/>
      </w:trPr>
      <w:tc>
        <w:tcPr>
          <w:tcW w:w="0" w:type="pct"/>
        </w:tcPr>
        <w:p w:rsidR="00EC379B" w:rsidRDefault="00C60D6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60D6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60D62" w:rsidP="006D504F">
          <w:pPr>
            <w:pStyle w:val="Footer"/>
            <w:rPr>
              <w:rStyle w:val="PageNumber"/>
            </w:rPr>
          </w:pPr>
        </w:p>
        <w:p w:rsidR="00EC379B" w:rsidRDefault="00C60D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10C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60D6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60D6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60D6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60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0D62">
      <w:r>
        <w:separator/>
      </w:r>
    </w:p>
  </w:footnote>
  <w:footnote w:type="continuationSeparator" w:id="0">
    <w:p w:rsidR="00000000" w:rsidRDefault="00C6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60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60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60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E7781"/>
    <w:multiLevelType w:val="hybridMultilevel"/>
    <w:tmpl w:val="BDFC27C4"/>
    <w:lvl w:ilvl="0" w:tplc="2CCC1A0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BCC5ED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9E889F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124088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D1CE9E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0E03FE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750AB5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40004E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7501BB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CA"/>
    <w:rsid w:val="001310CA"/>
    <w:rsid w:val="00C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2544A5-791A-4801-A71F-76A13024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403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0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03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0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03CE"/>
    <w:rPr>
      <w:b/>
      <w:bCs/>
    </w:rPr>
  </w:style>
  <w:style w:type="character" w:customStyle="1" w:styleId="verityhit">
    <w:name w:val="verityhit"/>
    <w:basedOn w:val="DefaultParagraphFont"/>
    <w:rsid w:val="00E91048"/>
  </w:style>
  <w:style w:type="paragraph" w:styleId="Title">
    <w:name w:val="Title"/>
    <w:basedOn w:val="Normal"/>
    <w:next w:val="Normal"/>
    <w:link w:val="TitleChar"/>
    <w:qFormat/>
    <w:rsid w:val="002C45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C45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2636</Characters>
  <Application>Microsoft Office Word</Application>
  <DocSecurity>4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HB00092 (Committee Report (Unamended))</vt:lpstr>
    </vt:vector>
  </TitlesOfParts>
  <Company>State of Texas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15122</dc:subject>
  <dc:creator>State of Texas</dc:creator>
  <dc:description>HB 92 by Rodriguez-(H)Public Education</dc:description>
  <cp:lastModifiedBy>Scotty Wimberley</cp:lastModifiedBy>
  <cp:revision>2</cp:revision>
  <cp:lastPrinted>2003-11-26T17:21:00Z</cp:lastPrinted>
  <dcterms:created xsi:type="dcterms:W3CDTF">2019-03-11T23:16:00Z</dcterms:created>
  <dcterms:modified xsi:type="dcterms:W3CDTF">2019-03-11T23:16:00Z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19.53.307</vt:lpwstr>
  </property>
</Properties>
</file>