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304A2" w:rsidTr="00345119">
        <w:tc>
          <w:tcPr>
            <w:tcW w:w="9576" w:type="dxa"/>
            <w:noWrap/>
          </w:tcPr>
          <w:p w:rsidR="008423E4" w:rsidRPr="0022177D" w:rsidRDefault="00A0397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03971" w:rsidP="008423E4">
      <w:pPr>
        <w:jc w:val="center"/>
      </w:pPr>
    </w:p>
    <w:p w:rsidR="008423E4" w:rsidRPr="00B31F0E" w:rsidRDefault="00A03971" w:rsidP="008423E4"/>
    <w:p w:rsidR="008423E4" w:rsidRPr="00742794" w:rsidRDefault="00A0397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304A2" w:rsidTr="00345119">
        <w:tc>
          <w:tcPr>
            <w:tcW w:w="9576" w:type="dxa"/>
          </w:tcPr>
          <w:p w:rsidR="008423E4" w:rsidRPr="00861995" w:rsidRDefault="00A03971" w:rsidP="00345119">
            <w:pPr>
              <w:jc w:val="right"/>
            </w:pPr>
            <w:r>
              <w:t>C.S.H.B. 183</w:t>
            </w:r>
          </w:p>
        </w:tc>
      </w:tr>
      <w:tr w:rsidR="005304A2" w:rsidTr="00345119">
        <w:tc>
          <w:tcPr>
            <w:tcW w:w="9576" w:type="dxa"/>
          </w:tcPr>
          <w:p w:rsidR="008423E4" w:rsidRPr="00861995" w:rsidRDefault="00A03971" w:rsidP="00E44CDC">
            <w:pPr>
              <w:jc w:val="right"/>
            </w:pPr>
            <w:r>
              <w:t xml:space="preserve">By: </w:t>
            </w:r>
            <w:r>
              <w:t>Stephenson</w:t>
            </w:r>
          </w:p>
        </w:tc>
      </w:tr>
      <w:tr w:rsidR="005304A2" w:rsidTr="00345119">
        <w:tc>
          <w:tcPr>
            <w:tcW w:w="9576" w:type="dxa"/>
          </w:tcPr>
          <w:p w:rsidR="008423E4" w:rsidRPr="00861995" w:rsidRDefault="00A03971" w:rsidP="00345119">
            <w:pPr>
              <w:jc w:val="right"/>
            </w:pPr>
            <w:r>
              <w:t>Pensions, Investments &amp; Financial Services</w:t>
            </w:r>
          </w:p>
        </w:tc>
      </w:tr>
      <w:tr w:rsidR="005304A2" w:rsidTr="00345119">
        <w:tc>
          <w:tcPr>
            <w:tcW w:w="9576" w:type="dxa"/>
          </w:tcPr>
          <w:p w:rsidR="008423E4" w:rsidRDefault="00A0397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03971" w:rsidP="008423E4">
      <w:pPr>
        <w:tabs>
          <w:tab w:val="right" w:pos="9360"/>
        </w:tabs>
      </w:pPr>
    </w:p>
    <w:p w:rsidR="008423E4" w:rsidRDefault="00A03971" w:rsidP="008423E4"/>
    <w:p w:rsidR="008423E4" w:rsidRDefault="00A0397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304A2" w:rsidTr="000F6DB9">
        <w:trPr>
          <w:trHeight w:val="2817"/>
        </w:trPr>
        <w:tc>
          <w:tcPr>
            <w:tcW w:w="9576" w:type="dxa"/>
          </w:tcPr>
          <w:p w:rsidR="008423E4" w:rsidRPr="00A8133F" w:rsidRDefault="00A03971" w:rsidP="000F6DB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03971" w:rsidP="000F6DB9"/>
          <w:p w:rsidR="00105D3E" w:rsidRPr="00E26B13" w:rsidRDefault="00A03971" w:rsidP="000F6DB9">
            <w:pPr>
              <w:pStyle w:val="Header"/>
              <w:jc w:val="both"/>
              <w:rPr>
                <w:b/>
              </w:rPr>
            </w:pPr>
            <w:r>
              <w:t xml:space="preserve">There are concerns that the </w:t>
            </w:r>
            <w:r>
              <w:t>Teacher Retirement</w:t>
            </w:r>
            <w:r>
              <w:t xml:space="preserve"> System </w:t>
            </w:r>
            <w:r>
              <w:t>of Texas</w:t>
            </w:r>
            <w:r>
              <w:t xml:space="preserve"> (TRS) </w:t>
            </w:r>
            <w:r>
              <w:t xml:space="preserve">pre-funded pension fund is </w:t>
            </w:r>
            <w:r>
              <w:t>unsustainable due to growing unfunded liabilities</w:t>
            </w:r>
            <w:r>
              <w:t xml:space="preserve"> and c</w:t>
            </w:r>
            <w:r>
              <w:t xml:space="preserve">urrent </w:t>
            </w:r>
            <w:r>
              <w:t xml:space="preserve">funding </w:t>
            </w:r>
            <w:r>
              <w:t xml:space="preserve">methods </w:t>
            </w:r>
            <w:r>
              <w:t xml:space="preserve">that </w:t>
            </w:r>
            <w:r>
              <w:t>are no longer viable and increasingly run the risk of betraying the promises made to teachers</w:t>
            </w:r>
            <w:r>
              <w:t xml:space="preserve"> and that more information is needed to adequately address this funding issue</w:t>
            </w:r>
            <w:r>
              <w:t xml:space="preserve">. </w:t>
            </w:r>
            <w:r>
              <w:t>C</w:t>
            </w:r>
            <w:r>
              <w:t>.S.</w:t>
            </w:r>
            <w:r>
              <w:t xml:space="preserve">H.B. 183 seeks to </w:t>
            </w:r>
            <w:r>
              <w:t xml:space="preserve">address these concerns by providing for the study and </w:t>
            </w:r>
            <w:r>
              <w:t xml:space="preserve">to </w:t>
            </w:r>
            <w:r>
              <w:t>review the cost-effectiveness and feasibility of implementing a pension revenue enhancement pl</w:t>
            </w:r>
            <w:r>
              <w:t>an to create an additional source of funding for TRS.</w:t>
            </w:r>
          </w:p>
        </w:tc>
      </w:tr>
      <w:tr w:rsidR="005304A2" w:rsidTr="00345119">
        <w:tc>
          <w:tcPr>
            <w:tcW w:w="9576" w:type="dxa"/>
          </w:tcPr>
          <w:p w:rsidR="0017725B" w:rsidRDefault="00A03971" w:rsidP="000F6D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03971" w:rsidP="000F6DB9">
            <w:pPr>
              <w:rPr>
                <w:b/>
                <w:u w:val="single"/>
              </w:rPr>
            </w:pPr>
          </w:p>
          <w:p w:rsidR="007131AC" w:rsidRPr="007131AC" w:rsidRDefault="00A03971" w:rsidP="000F6DB9">
            <w:pPr>
              <w:jc w:val="both"/>
            </w:pPr>
            <w:r>
              <w:t>It i</w:t>
            </w:r>
            <w:r>
              <w:t>s the committee's opinion that this bill does not expressly create a criminal offense, increase the punishment for an existing criminal offense or category of offenses, or change the eligibility of a person for community supervision, parole, or mandatory s</w:t>
            </w:r>
            <w:r>
              <w:t>upervision.</w:t>
            </w:r>
          </w:p>
          <w:p w:rsidR="0017725B" w:rsidRPr="0017725B" w:rsidRDefault="00A03971" w:rsidP="000F6DB9">
            <w:pPr>
              <w:rPr>
                <w:b/>
                <w:u w:val="single"/>
              </w:rPr>
            </w:pPr>
          </w:p>
        </w:tc>
      </w:tr>
      <w:tr w:rsidR="005304A2" w:rsidTr="00345119">
        <w:tc>
          <w:tcPr>
            <w:tcW w:w="9576" w:type="dxa"/>
          </w:tcPr>
          <w:p w:rsidR="008423E4" w:rsidRPr="00A8133F" w:rsidRDefault="00A03971" w:rsidP="000F6DB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CA670E" w:rsidRDefault="00A03971" w:rsidP="000F6DB9"/>
          <w:p w:rsidR="0096587B" w:rsidRDefault="00A03971" w:rsidP="000F6D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03971" w:rsidP="000F6DB9">
            <w:pPr>
              <w:rPr>
                <w:b/>
              </w:rPr>
            </w:pPr>
          </w:p>
        </w:tc>
      </w:tr>
      <w:tr w:rsidR="005304A2" w:rsidTr="00345119">
        <w:tc>
          <w:tcPr>
            <w:tcW w:w="9576" w:type="dxa"/>
          </w:tcPr>
          <w:p w:rsidR="008423E4" w:rsidRPr="00A8133F" w:rsidRDefault="00A03971" w:rsidP="000F6DB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</w:p>
          <w:p w:rsidR="008423E4" w:rsidRDefault="00A03971" w:rsidP="000F6DB9"/>
          <w:p w:rsidR="003C5FCC" w:rsidRDefault="00A03971" w:rsidP="000F6D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183 establishes the joint interim committee on a pension revenue enhancement plan </w:t>
            </w:r>
            <w:r w:rsidRPr="00CA670E">
              <w:t>for the Teacher Retirement System of Texas</w:t>
            </w:r>
            <w:r>
              <w:t xml:space="preserve"> (TRS)</w:t>
            </w:r>
            <w:r w:rsidRPr="00CA670E">
              <w:t xml:space="preserve"> to study and review the cost-effectiveness and feasibility of implementing a pension revenue enhancement plan to cre</w:t>
            </w:r>
            <w:r w:rsidRPr="00CA670E">
              <w:t xml:space="preserve">ate an additional source of funding for </w:t>
            </w:r>
            <w:r>
              <w:t xml:space="preserve">TRS. The bill sets out the composition and </w:t>
            </w:r>
            <w:r>
              <w:t xml:space="preserve">provides for the </w:t>
            </w:r>
            <w:r>
              <w:t>administration of the joint interim committee. The bill requires the study to consider the following:</w:t>
            </w:r>
          </w:p>
          <w:p w:rsidR="00ED07AB" w:rsidRDefault="00A03971" w:rsidP="000F6DB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 pension revenue enhancement plan under which </w:t>
            </w:r>
            <w:r w:rsidRPr="00ED07AB">
              <w:t xml:space="preserve">a life </w:t>
            </w:r>
            <w:r w:rsidRPr="00ED07AB">
              <w:t xml:space="preserve">insurance policy is purchased for certain </w:t>
            </w:r>
            <w:r>
              <w:t>members and annuitants of TRS</w:t>
            </w:r>
            <w:r w:rsidRPr="00ED07AB">
              <w:t xml:space="preserve"> enrolled in the plan</w:t>
            </w:r>
            <w:r>
              <w:t xml:space="preserve"> and </w:t>
            </w:r>
            <w:r w:rsidRPr="00ED07AB">
              <w:t>the proceeds of the policy are</w:t>
            </w:r>
            <w:r>
              <w:t xml:space="preserve"> issued to TRS</w:t>
            </w:r>
            <w:r w:rsidRPr="00ED07AB">
              <w:t xml:space="preserve"> and the member's or annuitant's designated beneficiary;</w:t>
            </w:r>
          </w:p>
          <w:p w:rsidR="00ED07AB" w:rsidRDefault="00A03971" w:rsidP="000F6DB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ED07AB">
              <w:t>methods for financing the pension revenue enhancement plan</w:t>
            </w:r>
            <w:r>
              <w:t xml:space="preserve">, including by </w:t>
            </w:r>
            <w:r w:rsidRPr="00ED07AB">
              <w:t>obtaining a loan from a third-party lender to pay the life insurance policy premiums</w:t>
            </w:r>
            <w:r>
              <w:t xml:space="preserve"> and </w:t>
            </w:r>
            <w:r w:rsidRPr="00ED07AB">
              <w:t>establishing a trust fund to retain the collected proceeds;</w:t>
            </w:r>
          </w:p>
          <w:p w:rsidR="00ED07AB" w:rsidRDefault="00A03971" w:rsidP="000F6DB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ED07AB">
              <w:t>eligibility criteria for members and ann</w:t>
            </w:r>
            <w:r>
              <w:t>uitants of TRS</w:t>
            </w:r>
            <w:r w:rsidRPr="00ED07AB">
              <w:t xml:space="preserve"> to enroll in the plan; and</w:t>
            </w:r>
          </w:p>
          <w:p w:rsidR="00ED07AB" w:rsidRDefault="00A03971" w:rsidP="000F6DB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ED07AB">
              <w:t>the proces</w:t>
            </w:r>
            <w:r w:rsidRPr="00ED07AB">
              <w:t>s for selecting and appointing, including eligibility criteria, persons and entities necessary to administer and implement the plan, including members of a board of trustees to administer the plan, a person to act as trustee of the trust fund, a plan manag</w:t>
            </w:r>
            <w:r w:rsidRPr="00ED07AB">
              <w:t>er, a life insurance company, and a premium finance company.</w:t>
            </w:r>
            <w:r>
              <w:t xml:space="preserve"> </w:t>
            </w:r>
          </w:p>
          <w:p w:rsidR="00CA670E" w:rsidRDefault="00A03971" w:rsidP="00815E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establishes that t</w:t>
            </w:r>
            <w:r w:rsidRPr="00CA670E">
              <w:t>he joint interim committee has all other powers and duties provided to a special or select committee by the rules of the senate and house of representatives and by pol</w:t>
            </w:r>
            <w:r w:rsidRPr="00CA670E">
              <w:t>icies of the senate and house committees on administration.</w:t>
            </w:r>
            <w:r>
              <w:t xml:space="preserve"> The bill requires the joint interim committee, not later than December 31, 2020, to </w:t>
            </w:r>
            <w:r w:rsidRPr="00CA670E">
              <w:t>report the committee's findings and recommendations to the legislature.</w:t>
            </w:r>
            <w:r>
              <w:t xml:space="preserve"> The bill abolishes the joint interim com</w:t>
            </w:r>
            <w:r>
              <w:t>mittee and sets these provisions to expire on January 1, 2021.</w:t>
            </w:r>
          </w:p>
          <w:p w:rsidR="008423E4" w:rsidRPr="00835628" w:rsidRDefault="00A03971" w:rsidP="000F6DB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5304A2" w:rsidTr="00345119">
        <w:tc>
          <w:tcPr>
            <w:tcW w:w="9576" w:type="dxa"/>
          </w:tcPr>
          <w:p w:rsidR="008423E4" w:rsidRPr="00A8133F" w:rsidRDefault="00A03971" w:rsidP="000F6DB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03971" w:rsidP="000F6DB9"/>
          <w:p w:rsidR="008423E4" w:rsidRPr="003624F2" w:rsidRDefault="00A03971" w:rsidP="000F6D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A03971" w:rsidP="000F6DB9">
            <w:pPr>
              <w:rPr>
                <w:b/>
              </w:rPr>
            </w:pPr>
          </w:p>
        </w:tc>
      </w:tr>
      <w:tr w:rsidR="005304A2" w:rsidTr="00345119">
        <w:tc>
          <w:tcPr>
            <w:tcW w:w="9576" w:type="dxa"/>
          </w:tcPr>
          <w:p w:rsidR="00E44CDC" w:rsidRDefault="00A03971" w:rsidP="000F6DB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A670E" w:rsidRDefault="00A03971" w:rsidP="000F6DB9">
            <w:pPr>
              <w:jc w:val="both"/>
            </w:pPr>
          </w:p>
          <w:p w:rsidR="00CA670E" w:rsidRDefault="00A03971" w:rsidP="000F6DB9">
            <w:pPr>
              <w:jc w:val="both"/>
            </w:pPr>
            <w:r>
              <w:t xml:space="preserve">While C.S.H.B. 183 may differ from the original </w:t>
            </w:r>
            <w:r>
              <w:t>in minor or nonsubstantive ways, the following summarizes the substantial differences between the introduced and committee substitute versions of the bill.</w:t>
            </w:r>
          </w:p>
          <w:p w:rsidR="00CA670E" w:rsidRDefault="00A03971" w:rsidP="000F6DB9">
            <w:pPr>
              <w:jc w:val="both"/>
            </w:pPr>
          </w:p>
          <w:p w:rsidR="003F0B52" w:rsidRDefault="00A03971" w:rsidP="000F6DB9">
            <w:pPr>
              <w:jc w:val="both"/>
            </w:pPr>
            <w:r>
              <w:t xml:space="preserve">The substitute does not include </w:t>
            </w:r>
            <w:r>
              <w:t xml:space="preserve">a </w:t>
            </w:r>
            <w:r>
              <w:t>provision</w:t>
            </w:r>
            <w:r>
              <w:t xml:space="preserve"> establishing a pension revenue enhancement plan for cer</w:t>
            </w:r>
            <w:r>
              <w:t xml:space="preserve">tain purposes relating to TRS and </w:t>
            </w:r>
            <w:r>
              <w:t>provisions relating to</w:t>
            </w:r>
            <w:r>
              <w:t>:</w:t>
            </w:r>
            <w:r>
              <w:t xml:space="preserve"> </w:t>
            </w:r>
          </w:p>
          <w:p w:rsidR="003F0B52" w:rsidRDefault="00A03971" w:rsidP="000F6DB9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definitions for the plan;</w:t>
            </w:r>
          </w:p>
          <w:p w:rsidR="003F0B52" w:rsidRDefault="00A03971" w:rsidP="000F6DB9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requirements for </w:t>
            </w:r>
            <w:r>
              <w:t>the operation of the plan</w:t>
            </w:r>
            <w:r>
              <w:t>;</w:t>
            </w:r>
          </w:p>
          <w:p w:rsidR="003F0B52" w:rsidRDefault="00A03971" w:rsidP="000F6DB9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member </w:t>
            </w:r>
            <w:r>
              <w:t>enrollment in the plan</w:t>
            </w:r>
            <w:r>
              <w:t>;</w:t>
            </w:r>
          </w:p>
          <w:p w:rsidR="003F0B52" w:rsidRDefault="00A03971" w:rsidP="000F6DB9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the establishment of a plan trust fund</w:t>
            </w:r>
            <w:r>
              <w:t>;</w:t>
            </w:r>
          </w:p>
          <w:p w:rsidR="003F0B52" w:rsidRDefault="00A03971" w:rsidP="000F6DB9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the limited uses of and distributions from </w:t>
            </w:r>
            <w:r>
              <w:t>trust fund mo</w:t>
            </w:r>
            <w:r>
              <w:t>ney;</w:t>
            </w:r>
          </w:p>
          <w:p w:rsidR="003F0B52" w:rsidRDefault="00A03971" w:rsidP="000F6DB9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the composition of the board of trustees of the plan</w:t>
            </w:r>
            <w:r>
              <w:t>;</w:t>
            </w:r>
          </w:p>
          <w:p w:rsidR="003F0B52" w:rsidRDefault="00A03971" w:rsidP="000F6DB9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contracting for a person to act as the trustee of the trust fund and as plan manager; </w:t>
            </w:r>
          </w:p>
          <w:p w:rsidR="00BF5812" w:rsidRDefault="00A03971" w:rsidP="000F6DB9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eligibility of a life insurance company for bank lending and to participate in the plan;</w:t>
            </w:r>
          </w:p>
          <w:p w:rsidR="00BF5812" w:rsidRDefault="00A03971" w:rsidP="000F6DB9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eligibility of a </w:t>
            </w:r>
            <w:r>
              <w:t>premium finance company to participate in the plan;</w:t>
            </w:r>
          </w:p>
          <w:p w:rsidR="00BF5812" w:rsidRDefault="00A03971" w:rsidP="000F6DB9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the confidentiality of records; and</w:t>
            </w:r>
          </w:p>
          <w:p w:rsidR="000906F4" w:rsidRDefault="00A03971" w:rsidP="00815E1C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>limitations of the plan with respect to coverage of expenses and obligations relating to the plan</w:t>
            </w:r>
            <w:r>
              <w:t>.</w:t>
            </w:r>
          </w:p>
          <w:p w:rsidR="000906F4" w:rsidRDefault="00A03971" w:rsidP="000F6DB9">
            <w:pPr>
              <w:jc w:val="both"/>
            </w:pPr>
          </w:p>
          <w:p w:rsidR="000906F4" w:rsidRDefault="00A03971" w:rsidP="000F6DB9">
            <w:pPr>
              <w:jc w:val="both"/>
            </w:pPr>
            <w:r>
              <w:t>The substitute does not include the authorization for the governor t</w:t>
            </w:r>
            <w:r>
              <w:t xml:space="preserve">o adopt rules as necessary to implement </w:t>
            </w:r>
            <w:r>
              <w:t>applicable</w:t>
            </w:r>
            <w:r>
              <w:t xml:space="preserve"> </w:t>
            </w:r>
            <w:r>
              <w:t>provisions</w:t>
            </w:r>
            <w:r>
              <w:t xml:space="preserve"> of the bill</w:t>
            </w:r>
            <w:r>
              <w:t xml:space="preserve">. </w:t>
            </w:r>
          </w:p>
          <w:p w:rsidR="000906F4" w:rsidRDefault="00A03971" w:rsidP="000F6DB9">
            <w:pPr>
              <w:jc w:val="both"/>
            </w:pPr>
          </w:p>
          <w:p w:rsidR="00CA670E" w:rsidRDefault="00A03971" w:rsidP="000F6DB9">
            <w:pPr>
              <w:jc w:val="both"/>
            </w:pPr>
            <w:r>
              <w:t>The substitute includes a provision establishing a joint interim committee on a pension revenue enhancement plan for TRS to study and review the cost-effectiveness and feasibility</w:t>
            </w:r>
            <w:r>
              <w:t xml:space="preserve"> of implementing a </w:t>
            </w:r>
            <w:r w:rsidRPr="00C247C4">
              <w:t xml:space="preserve">pension revenue enhancement </w:t>
            </w:r>
            <w:r>
              <w:t>plan to create an additional source of funding for TRS and includes certain related requirements for the committee.</w:t>
            </w:r>
          </w:p>
          <w:p w:rsidR="000906F4" w:rsidRDefault="00A03971" w:rsidP="000F6DB9">
            <w:pPr>
              <w:jc w:val="both"/>
            </w:pPr>
          </w:p>
          <w:p w:rsidR="000906F4" w:rsidRDefault="00A03971" w:rsidP="000F6DB9">
            <w:pPr>
              <w:jc w:val="both"/>
            </w:pPr>
            <w:r>
              <w:t xml:space="preserve">The substitute includes </w:t>
            </w:r>
            <w:r>
              <w:t>a</w:t>
            </w:r>
            <w:r>
              <w:t xml:space="preserve"> date the committee</w:t>
            </w:r>
            <w:r>
              <w:t xml:space="preserve"> is to be abolished</w:t>
            </w:r>
            <w:r>
              <w:t xml:space="preserve"> and an expiration date for t</w:t>
            </w:r>
            <w:r>
              <w:t xml:space="preserve">he </w:t>
            </w:r>
            <w:r>
              <w:t>bill</w:t>
            </w:r>
            <w:r>
              <w:t xml:space="preserve">'s provisions. </w:t>
            </w:r>
          </w:p>
          <w:p w:rsidR="00C247C4" w:rsidRDefault="00A03971" w:rsidP="000F6DB9">
            <w:pPr>
              <w:jc w:val="both"/>
            </w:pPr>
          </w:p>
          <w:p w:rsidR="00CA670E" w:rsidRDefault="00A03971" w:rsidP="000F6DB9">
            <w:pPr>
              <w:jc w:val="both"/>
            </w:pPr>
            <w:r>
              <w:t>The substitute changes the bill's effective date.</w:t>
            </w:r>
          </w:p>
          <w:p w:rsidR="00CA670E" w:rsidRPr="00CA670E" w:rsidRDefault="00A03971" w:rsidP="000F6DB9">
            <w:pPr>
              <w:jc w:val="both"/>
            </w:pPr>
          </w:p>
        </w:tc>
      </w:tr>
    </w:tbl>
    <w:p w:rsidR="008423E4" w:rsidRPr="00BE0E75" w:rsidRDefault="00A0397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0397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3971">
      <w:r>
        <w:separator/>
      </w:r>
    </w:p>
  </w:endnote>
  <w:endnote w:type="continuationSeparator" w:id="0">
    <w:p w:rsidR="00000000" w:rsidRDefault="00A0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039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304A2" w:rsidTr="009C1E9A">
      <w:trPr>
        <w:cantSplit/>
      </w:trPr>
      <w:tc>
        <w:tcPr>
          <w:tcW w:w="0" w:type="pct"/>
        </w:tcPr>
        <w:p w:rsidR="00137D90" w:rsidRDefault="00A039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0397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0397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039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039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04A2" w:rsidTr="009C1E9A">
      <w:trPr>
        <w:cantSplit/>
      </w:trPr>
      <w:tc>
        <w:tcPr>
          <w:tcW w:w="0" w:type="pct"/>
        </w:tcPr>
        <w:p w:rsidR="00EC379B" w:rsidRDefault="00A039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0397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31487</w:t>
          </w:r>
        </w:p>
      </w:tc>
      <w:tc>
        <w:tcPr>
          <w:tcW w:w="2453" w:type="pct"/>
        </w:tcPr>
        <w:p w:rsidR="00EC379B" w:rsidRDefault="00A039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19.122.1059</w:t>
          </w:r>
          <w:r>
            <w:fldChar w:fldCharType="end"/>
          </w:r>
        </w:p>
      </w:tc>
    </w:tr>
    <w:tr w:rsidR="005304A2" w:rsidTr="009C1E9A">
      <w:trPr>
        <w:cantSplit/>
      </w:trPr>
      <w:tc>
        <w:tcPr>
          <w:tcW w:w="0" w:type="pct"/>
        </w:tcPr>
        <w:p w:rsidR="00EC379B" w:rsidRDefault="00A0397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0397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86R </w:t>
          </w:r>
          <w:r>
            <w:rPr>
              <w:rFonts w:ascii="Shruti" w:hAnsi="Shruti"/>
              <w:sz w:val="22"/>
            </w:rPr>
            <w:t>30585</w:t>
          </w:r>
        </w:p>
      </w:tc>
      <w:tc>
        <w:tcPr>
          <w:tcW w:w="2453" w:type="pct"/>
        </w:tcPr>
        <w:p w:rsidR="00EC379B" w:rsidRDefault="00A03971" w:rsidP="006D504F">
          <w:pPr>
            <w:pStyle w:val="Footer"/>
            <w:rPr>
              <w:rStyle w:val="PageNumber"/>
            </w:rPr>
          </w:pPr>
        </w:p>
        <w:p w:rsidR="00EC379B" w:rsidRDefault="00A039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04A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0397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A0397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0397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03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3971">
      <w:r>
        <w:separator/>
      </w:r>
    </w:p>
  </w:footnote>
  <w:footnote w:type="continuationSeparator" w:id="0">
    <w:p w:rsidR="00000000" w:rsidRDefault="00A0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039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039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039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6E85"/>
    <w:multiLevelType w:val="hybridMultilevel"/>
    <w:tmpl w:val="4B7890BC"/>
    <w:lvl w:ilvl="0" w:tplc="1D80F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9CAF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440D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A661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367D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30AD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62B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F641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D6CD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E14AB"/>
    <w:multiLevelType w:val="hybridMultilevel"/>
    <w:tmpl w:val="2B3E2F42"/>
    <w:lvl w:ilvl="0" w:tplc="DD827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2CDA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D017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003F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07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641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BE20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23A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2E5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A2"/>
    <w:rsid w:val="005304A2"/>
    <w:rsid w:val="00A0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17CCAA-1DC1-4A6F-9823-8ADF0538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C08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08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085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0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085F"/>
    <w:rPr>
      <w:b/>
      <w:bCs/>
    </w:rPr>
  </w:style>
  <w:style w:type="paragraph" w:styleId="Revision">
    <w:name w:val="Revision"/>
    <w:hidden/>
    <w:uiPriority w:val="99"/>
    <w:semiHidden/>
    <w:rsid w:val="00CA670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F0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4107</Characters>
  <Application>Microsoft Office Word</Application>
  <DocSecurity>4</DocSecurity>
  <Lines>95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HB00183 (Committee Report (Substituted))</vt:lpstr>
    </vt:vector>
  </TitlesOfParts>
  <Company>State of Texas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31487</dc:subject>
  <dc:creator>State of Texas</dc:creator>
  <dc:description>HB 183 by Stephenson-(H)Pensions, Investments &amp; Financial Services (Substitute Document Number: 86R 30585)</dc:description>
  <cp:lastModifiedBy>Scotty Wimberley</cp:lastModifiedBy>
  <cp:revision>2</cp:revision>
  <cp:lastPrinted>2019-01-04T15:00:00Z</cp:lastPrinted>
  <dcterms:created xsi:type="dcterms:W3CDTF">2019-05-06T14:25:00Z</dcterms:created>
  <dcterms:modified xsi:type="dcterms:W3CDTF">2019-05-06T14:25:00Z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19.122.1059</vt:lpwstr>
  </property>
</Properties>
</file>