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C471C" w:rsidTr="00345119">
        <w:tc>
          <w:tcPr>
            <w:tcW w:w="9576" w:type="dxa"/>
            <w:noWrap/>
          </w:tcPr>
          <w:p w:rsidR="008423E4" w:rsidRPr="0022177D" w:rsidRDefault="000F727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F7277" w:rsidP="008423E4">
      <w:pPr>
        <w:jc w:val="center"/>
      </w:pPr>
    </w:p>
    <w:p w:rsidR="008423E4" w:rsidRPr="00B31F0E" w:rsidRDefault="000F7277" w:rsidP="008423E4"/>
    <w:p w:rsidR="008423E4" w:rsidRPr="00742794" w:rsidRDefault="000F727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471C" w:rsidTr="00345119">
        <w:tc>
          <w:tcPr>
            <w:tcW w:w="9576" w:type="dxa"/>
          </w:tcPr>
          <w:p w:rsidR="008423E4" w:rsidRPr="00861995" w:rsidRDefault="000F7277" w:rsidP="00345119">
            <w:pPr>
              <w:jc w:val="right"/>
            </w:pPr>
            <w:r>
              <w:t>C.S.H.B. 259</w:t>
            </w:r>
          </w:p>
        </w:tc>
      </w:tr>
      <w:tr w:rsidR="007C471C" w:rsidTr="00345119">
        <w:tc>
          <w:tcPr>
            <w:tcW w:w="9576" w:type="dxa"/>
          </w:tcPr>
          <w:p w:rsidR="008423E4" w:rsidRPr="00861995" w:rsidRDefault="000F7277" w:rsidP="00CF0107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7C471C" w:rsidTr="00345119">
        <w:tc>
          <w:tcPr>
            <w:tcW w:w="9576" w:type="dxa"/>
          </w:tcPr>
          <w:p w:rsidR="008423E4" w:rsidRPr="00861995" w:rsidRDefault="000F7277" w:rsidP="00345119">
            <w:pPr>
              <w:jc w:val="right"/>
            </w:pPr>
            <w:r>
              <w:t>Insurance</w:t>
            </w:r>
          </w:p>
        </w:tc>
      </w:tr>
      <w:tr w:rsidR="007C471C" w:rsidTr="00345119">
        <w:tc>
          <w:tcPr>
            <w:tcW w:w="9576" w:type="dxa"/>
          </w:tcPr>
          <w:p w:rsidR="008423E4" w:rsidRDefault="000F727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F7277" w:rsidP="008423E4">
      <w:pPr>
        <w:tabs>
          <w:tab w:val="right" w:pos="9360"/>
        </w:tabs>
      </w:pPr>
    </w:p>
    <w:p w:rsidR="008423E4" w:rsidRDefault="000F7277" w:rsidP="008423E4"/>
    <w:p w:rsidR="008423E4" w:rsidRDefault="000F727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C471C" w:rsidTr="00345119">
        <w:tc>
          <w:tcPr>
            <w:tcW w:w="9576" w:type="dxa"/>
          </w:tcPr>
          <w:p w:rsidR="008423E4" w:rsidRPr="00A8133F" w:rsidRDefault="000F7277" w:rsidP="004209E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CD7FF9" w:rsidRDefault="000F7277" w:rsidP="004209E5">
            <w:pPr>
              <w:pStyle w:val="Header"/>
              <w:jc w:val="both"/>
            </w:pPr>
          </w:p>
          <w:p w:rsidR="008423E4" w:rsidRDefault="000F7277" w:rsidP="004209E5">
            <w:pPr>
              <w:pStyle w:val="Header"/>
              <w:jc w:val="both"/>
            </w:pPr>
            <w:r>
              <w:t>There are concerns that</w:t>
            </w:r>
            <w:r>
              <w:t xml:space="preserve"> the coverage restrictions </w:t>
            </w:r>
            <w:r>
              <w:t xml:space="preserve">in </w:t>
            </w:r>
            <w:r>
              <w:t>a named driver policy</w:t>
            </w:r>
            <w:r>
              <w:t xml:space="preserve"> are misunderstood by those insured by the policy. There are additional concerns that these restrictions </w:t>
            </w:r>
            <w:r>
              <w:t>may leave injured third parties with limited recourse to recover damages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259</w:t>
            </w:r>
            <w:r>
              <w:t xml:space="preserve"> seeks to address these concerns by</w:t>
            </w:r>
            <w:r>
              <w:t xml:space="preserve"> </w:t>
            </w:r>
            <w:r>
              <w:t>prohibiting an insurer writin</w:t>
            </w:r>
            <w:r>
              <w:t xml:space="preserve">g automobile insurance in Texas from delivering, issuing for delivery, or renewing a named </w:t>
            </w:r>
            <w:r w:rsidRPr="004A6657">
              <w:t>driver policy unless the named driver policy is an operator's policy</w:t>
            </w:r>
            <w:r>
              <w:t>.</w:t>
            </w:r>
            <w:r>
              <w:t xml:space="preserve"> </w:t>
            </w:r>
          </w:p>
          <w:p w:rsidR="008423E4" w:rsidRPr="00E26B13" w:rsidRDefault="000F7277" w:rsidP="004209E5">
            <w:pPr>
              <w:rPr>
                <w:b/>
              </w:rPr>
            </w:pPr>
          </w:p>
        </w:tc>
      </w:tr>
      <w:tr w:rsidR="007C471C" w:rsidTr="00345119">
        <w:tc>
          <w:tcPr>
            <w:tcW w:w="9576" w:type="dxa"/>
          </w:tcPr>
          <w:p w:rsidR="0017725B" w:rsidRDefault="000F7277" w:rsidP="004209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F7277" w:rsidP="004209E5">
            <w:pPr>
              <w:rPr>
                <w:b/>
                <w:u w:val="single"/>
              </w:rPr>
            </w:pPr>
          </w:p>
          <w:p w:rsidR="00C27E74" w:rsidRPr="00C27E74" w:rsidRDefault="000F7277" w:rsidP="004209E5">
            <w:pPr>
              <w:jc w:val="both"/>
            </w:pPr>
            <w:r>
              <w:t>It is the committee's opinion that this bill does not expressly cre</w:t>
            </w:r>
            <w:r>
              <w:t>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F7277" w:rsidP="004209E5">
            <w:pPr>
              <w:rPr>
                <w:b/>
                <w:u w:val="single"/>
              </w:rPr>
            </w:pPr>
          </w:p>
        </w:tc>
      </w:tr>
      <w:tr w:rsidR="007C471C" w:rsidTr="00345119">
        <w:tc>
          <w:tcPr>
            <w:tcW w:w="9576" w:type="dxa"/>
          </w:tcPr>
          <w:p w:rsidR="008423E4" w:rsidRPr="00A8133F" w:rsidRDefault="000F7277" w:rsidP="004209E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F7277" w:rsidP="004209E5"/>
          <w:p w:rsidR="00C27E74" w:rsidRDefault="000F7277" w:rsidP="00420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0F7277" w:rsidP="004209E5">
            <w:pPr>
              <w:rPr>
                <w:b/>
              </w:rPr>
            </w:pPr>
          </w:p>
        </w:tc>
      </w:tr>
      <w:tr w:rsidR="007C471C" w:rsidTr="00345119">
        <w:tc>
          <w:tcPr>
            <w:tcW w:w="9576" w:type="dxa"/>
          </w:tcPr>
          <w:p w:rsidR="008423E4" w:rsidRPr="00A8133F" w:rsidRDefault="000F7277" w:rsidP="004209E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F7277" w:rsidP="004209E5"/>
          <w:p w:rsidR="00A52326" w:rsidRDefault="000F7277" w:rsidP="00420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259 amends the Insurance Code to </w:t>
            </w:r>
            <w:r>
              <w:t>prohibit an insurer</w:t>
            </w:r>
            <w:r>
              <w:t xml:space="preserve"> writing automobile insurance in Texas</w:t>
            </w:r>
            <w:r>
              <w:t xml:space="preserve"> fro</w:t>
            </w:r>
            <w:r>
              <w:t xml:space="preserve">m delivering, issuing for delivery, or renewing a named </w:t>
            </w:r>
            <w:r w:rsidRPr="004A6657">
              <w:t>driver policy unless the named driver policy is an operator's policy.</w:t>
            </w:r>
            <w:r>
              <w:t xml:space="preserve"> The bill defines, among other terms, "named driver policy" as </w:t>
            </w:r>
            <w:r w:rsidRPr="00964476">
              <w:t>an automobile insurance policy that provides any type of coverage fo</w:t>
            </w:r>
            <w:r w:rsidRPr="00964476">
              <w:t xml:space="preserve">r individuals named on the policy but that does not provide coverage for every individual </w:t>
            </w:r>
            <w:r>
              <w:t>who has permission to use a covered vehicle and who resides</w:t>
            </w:r>
            <w:r w:rsidRPr="00964476">
              <w:t xml:space="preserve"> </w:t>
            </w:r>
            <w:r w:rsidRPr="00964476">
              <w:t>in a named insured's household.</w:t>
            </w:r>
            <w:r>
              <w:t xml:space="preserve"> </w:t>
            </w:r>
          </w:p>
          <w:p w:rsidR="00A52326" w:rsidRDefault="000F7277" w:rsidP="00420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52326" w:rsidRDefault="000F7277" w:rsidP="00420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259 </w:t>
            </w:r>
            <w:r>
              <w:t xml:space="preserve">authorizes an </w:t>
            </w:r>
            <w:r>
              <w:t xml:space="preserve">insurer to </w:t>
            </w:r>
            <w:r w:rsidRPr="000E7978">
              <w:t>use a named driver exclusion</w:t>
            </w:r>
            <w:r>
              <w:t>, defi</w:t>
            </w:r>
            <w:r>
              <w:t xml:space="preserve">ned by the bill as </w:t>
            </w:r>
            <w:r w:rsidRPr="0061623C">
              <w:t>a provision or endorsement of an automobile insurance policy that excludes specified drivers from coverage under the policy</w:t>
            </w:r>
            <w:r>
              <w:t>,</w:t>
            </w:r>
            <w:r w:rsidRPr="000E7978">
              <w:t xml:space="preserve"> only if the exclusion specifically names each excluded driver and does not exclude a class of drivers and the na</w:t>
            </w:r>
            <w:r w:rsidRPr="000E7978">
              <w:t>med insured accepts the exclusion in writing.</w:t>
            </w:r>
            <w:r>
              <w:t xml:space="preserve"> </w:t>
            </w:r>
          </w:p>
          <w:p w:rsidR="00A52326" w:rsidRDefault="000F7277" w:rsidP="00420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E7978" w:rsidRDefault="000F7277" w:rsidP="00420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259</w:t>
            </w:r>
            <w:r>
              <w:t xml:space="preserve"> repeals provisions requiring </w:t>
            </w:r>
            <w:r>
              <w:t xml:space="preserve">an agent or insurer, before accepting any premium or fee for a named driver policy, to </w:t>
            </w:r>
            <w:r>
              <w:t>d</w:t>
            </w:r>
            <w:r>
              <w:t>isclos</w:t>
            </w:r>
            <w:r>
              <w:t xml:space="preserve">e </w:t>
            </w:r>
            <w:r>
              <w:t xml:space="preserve">to the applicant or insured </w:t>
            </w:r>
            <w:r>
              <w:t xml:space="preserve">that a named driver policy </w:t>
            </w:r>
            <w:r w:rsidRPr="009D6057">
              <w:t>does not provid</w:t>
            </w:r>
            <w:r w:rsidRPr="009D6057">
              <w:t>e coverage for individuals residing in the insured's household that are not named on the policy.</w:t>
            </w:r>
            <w:r>
              <w:t xml:space="preserve"> </w:t>
            </w:r>
            <w:r>
              <w:t xml:space="preserve">The bill applies only </w:t>
            </w:r>
            <w:r w:rsidRPr="00EF49D3">
              <w:t>to an insurance policy that is delivered, issued for delivery, or renewed on or after January 1, 2020.</w:t>
            </w:r>
          </w:p>
          <w:p w:rsidR="00E36F40" w:rsidRDefault="000F7277" w:rsidP="00420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D4F9A" w:rsidRDefault="000F7277" w:rsidP="00420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259 amends th</w:t>
            </w:r>
            <w:r>
              <w:t xml:space="preserve">e </w:t>
            </w:r>
            <w:r>
              <w:t xml:space="preserve">Transportation Code to </w:t>
            </w:r>
            <w:r>
              <w:t xml:space="preserve">make </w:t>
            </w:r>
            <w:r>
              <w:t xml:space="preserve">a </w:t>
            </w:r>
            <w:r>
              <w:t>conforming change.</w:t>
            </w:r>
          </w:p>
          <w:p w:rsidR="009D4F9A" w:rsidRDefault="000F7277" w:rsidP="00420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52326" w:rsidRDefault="000F7277" w:rsidP="00420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259 repeals </w:t>
            </w:r>
            <w:r>
              <w:t>the following provisions:</w:t>
            </w:r>
          </w:p>
          <w:p w:rsidR="00A52326" w:rsidRDefault="000F7277" w:rsidP="004209E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F49D3">
              <w:t>Section 1952.0545, Insurance Code</w:t>
            </w:r>
          </w:p>
          <w:p w:rsidR="002C496A" w:rsidRDefault="000F7277" w:rsidP="004209E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F49D3">
              <w:t>Section 601.081(a), Transportation Code</w:t>
            </w:r>
            <w:r>
              <w:t xml:space="preserve"> </w:t>
            </w:r>
          </w:p>
          <w:p w:rsidR="008423E4" w:rsidRPr="00835628" w:rsidRDefault="000F7277" w:rsidP="004209E5">
            <w:pPr>
              <w:rPr>
                <w:b/>
              </w:rPr>
            </w:pPr>
          </w:p>
        </w:tc>
      </w:tr>
      <w:tr w:rsidR="007C471C" w:rsidTr="00345119">
        <w:tc>
          <w:tcPr>
            <w:tcW w:w="9576" w:type="dxa"/>
          </w:tcPr>
          <w:p w:rsidR="008423E4" w:rsidRPr="00A8133F" w:rsidRDefault="000F7277" w:rsidP="004209E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F7277" w:rsidP="004209E5"/>
          <w:p w:rsidR="008423E4" w:rsidRPr="003624F2" w:rsidRDefault="000F7277" w:rsidP="00420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F49D3">
              <w:t>September 1, 2019.</w:t>
            </w:r>
          </w:p>
          <w:p w:rsidR="008423E4" w:rsidRPr="00233FDB" w:rsidRDefault="000F7277" w:rsidP="004209E5">
            <w:pPr>
              <w:rPr>
                <w:b/>
              </w:rPr>
            </w:pPr>
          </w:p>
        </w:tc>
      </w:tr>
      <w:tr w:rsidR="007C471C" w:rsidTr="00345119">
        <w:tc>
          <w:tcPr>
            <w:tcW w:w="9576" w:type="dxa"/>
          </w:tcPr>
          <w:p w:rsidR="00CF0107" w:rsidRDefault="000F7277" w:rsidP="004209E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014C5" w:rsidRDefault="000F7277" w:rsidP="004209E5">
            <w:pPr>
              <w:jc w:val="both"/>
            </w:pPr>
          </w:p>
          <w:p w:rsidR="00B014C5" w:rsidRDefault="000F7277" w:rsidP="004209E5">
            <w:pPr>
              <w:jc w:val="both"/>
            </w:pPr>
            <w:r>
              <w:t>While</w:t>
            </w:r>
            <w:r>
              <w:t xml:space="preserve"> C.S.H.B. 259 may differ from the original in minor or nonsubstantive ways, the following summarizes the substantial differences between the introduced and committee substitute versions of the bill.</w:t>
            </w:r>
          </w:p>
          <w:p w:rsidR="00B014C5" w:rsidRDefault="000F7277" w:rsidP="004209E5">
            <w:pPr>
              <w:jc w:val="both"/>
            </w:pPr>
          </w:p>
          <w:p w:rsidR="00B014C5" w:rsidRDefault="000F7277" w:rsidP="004209E5">
            <w:pPr>
              <w:jc w:val="both"/>
            </w:pPr>
            <w:r>
              <w:t>The substitute revises the definition of "named driver p</w:t>
            </w:r>
            <w:r>
              <w:t xml:space="preserve">olicy" by changing the type of individuals for whom such a policy does not provide coverage from individuals residing in a named insured's household to individuals who </w:t>
            </w:r>
            <w:r w:rsidRPr="00B014C5">
              <w:t>ha</w:t>
            </w:r>
            <w:r>
              <w:t>ve</w:t>
            </w:r>
            <w:r w:rsidRPr="00B014C5">
              <w:t xml:space="preserve"> permission to use a covered vehicle and who reside in a named insured's household</w:t>
            </w:r>
            <w:r>
              <w:t>.</w:t>
            </w:r>
          </w:p>
          <w:p w:rsidR="00B014C5" w:rsidRPr="00B014C5" w:rsidRDefault="000F7277" w:rsidP="004209E5">
            <w:pPr>
              <w:jc w:val="both"/>
            </w:pPr>
          </w:p>
        </w:tc>
      </w:tr>
      <w:tr w:rsidR="007C471C" w:rsidTr="00345119">
        <w:tc>
          <w:tcPr>
            <w:tcW w:w="9576" w:type="dxa"/>
          </w:tcPr>
          <w:p w:rsidR="00CF0107" w:rsidRPr="009C1E9A" w:rsidRDefault="000F7277" w:rsidP="004209E5">
            <w:pPr>
              <w:rPr>
                <w:b/>
                <w:u w:val="single"/>
              </w:rPr>
            </w:pPr>
          </w:p>
        </w:tc>
      </w:tr>
      <w:tr w:rsidR="007C471C" w:rsidTr="00345119">
        <w:tc>
          <w:tcPr>
            <w:tcW w:w="9576" w:type="dxa"/>
          </w:tcPr>
          <w:p w:rsidR="00CF0107" w:rsidRPr="00CF0107" w:rsidRDefault="000F7277" w:rsidP="004209E5">
            <w:pPr>
              <w:jc w:val="both"/>
            </w:pPr>
          </w:p>
        </w:tc>
      </w:tr>
    </w:tbl>
    <w:p w:rsidR="008423E4" w:rsidRPr="00BE0E75" w:rsidRDefault="000F727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F727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7277">
      <w:r>
        <w:separator/>
      </w:r>
    </w:p>
  </w:endnote>
  <w:endnote w:type="continuationSeparator" w:id="0">
    <w:p w:rsidR="00000000" w:rsidRDefault="000F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F7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471C" w:rsidTr="009C1E9A">
      <w:trPr>
        <w:cantSplit/>
      </w:trPr>
      <w:tc>
        <w:tcPr>
          <w:tcW w:w="0" w:type="pct"/>
        </w:tcPr>
        <w:p w:rsidR="00137D90" w:rsidRDefault="000F72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F72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F72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F72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F72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471C" w:rsidTr="009C1E9A">
      <w:trPr>
        <w:cantSplit/>
      </w:trPr>
      <w:tc>
        <w:tcPr>
          <w:tcW w:w="0" w:type="pct"/>
        </w:tcPr>
        <w:p w:rsidR="00EC379B" w:rsidRDefault="000F72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F72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23638</w:t>
          </w:r>
        </w:p>
      </w:tc>
      <w:tc>
        <w:tcPr>
          <w:tcW w:w="2453" w:type="pct"/>
        </w:tcPr>
        <w:p w:rsidR="00EC379B" w:rsidRDefault="000F72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19.91.1328</w:t>
          </w:r>
          <w:r>
            <w:fldChar w:fldCharType="end"/>
          </w:r>
        </w:p>
      </w:tc>
    </w:tr>
    <w:tr w:rsidR="007C471C" w:rsidTr="009C1E9A">
      <w:trPr>
        <w:cantSplit/>
      </w:trPr>
      <w:tc>
        <w:tcPr>
          <w:tcW w:w="0" w:type="pct"/>
        </w:tcPr>
        <w:p w:rsidR="00EC379B" w:rsidRDefault="000F72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F72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15265</w:t>
          </w:r>
        </w:p>
      </w:tc>
      <w:tc>
        <w:tcPr>
          <w:tcW w:w="2453" w:type="pct"/>
        </w:tcPr>
        <w:p w:rsidR="00EC379B" w:rsidRDefault="000F7277" w:rsidP="006D504F">
          <w:pPr>
            <w:pStyle w:val="Footer"/>
            <w:rPr>
              <w:rStyle w:val="PageNumber"/>
            </w:rPr>
          </w:pPr>
        </w:p>
        <w:p w:rsidR="00EC379B" w:rsidRDefault="000F72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47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F72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F727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F727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F7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7277">
      <w:r>
        <w:separator/>
      </w:r>
    </w:p>
  </w:footnote>
  <w:footnote w:type="continuationSeparator" w:id="0">
    <w:p w:rsidR="00000000" w:rsidRDefault="000F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F7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F7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F7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E9B"/>
    <w:multiLevelType w:val="hybridMultilevel"/>
    <w:tmpl w:val="CCCE7F3A"/>
    <w:lvl w:ilvl="0" w:tplc="F1DAF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9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AE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85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C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E66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7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89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8D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70CB0"/>
    <w:multiLevelType w:val="hybridMultilevel"/>
    <w:tmpl w:val="FFCE04E8"/>
    <w:lvl w:ilvl="0" w:tplc="5162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8C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84B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6E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86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43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6F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C9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C49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1C"/>
    <w:rsid w:val="000F7277"/>
    <w:rsid w:val="007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9C4404-A7F3-415E-B0D1-5B9B0C89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E79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7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79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7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2725</Characters>
  <Application>Microsoft Office Word</Application>
  <DocSecurity>4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HB00259 (Committee Report (Substituted))</vt:lpstr>
    </vt:vector>
  </TitlesOfParts>
  <Company>State of Texas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23638</dc:subject>
  <dc:creator>State of Texas</dc:creator>
  <dc:description>HB 259 by Thompson, Ed-(H)Insurance (Substitute Document Number: 86R 15265)</dc:description>
  <cp:lastModifiedBy>Laura Ramsay</cp:lastModifiedBy>
  <cp:revision>2</cp:revision>
  <cp:lastPrinted>2003-11-26T17:21:00Z</cp:lastPrinted>
  <dcterms:created xsi:type="dcterms:W3CDTF">2019-04-05T22:47:00Z</dcterms:created>
  <dcterms:modified xsi:type="dcterms:W3CDTF">2019-04-05T22:47:00Z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19.91.1328</vt:lpwstr>
  </property>
</Properties>
</file>