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43CE6" w:rsidTr="00345119">
        <w:tc>
          <w:tcPr>
            <w:tcW w:w="9576" w:type="dxa"/>
            <w:noWrap/>
          </w:tcPr>
          <w:p w:rsidR="008423E4" w:rsidRPr="0022177D" w:rsidRDefault="00614B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614BAA" w:rsidP="008423E4">
      <w:pPr>
        <w:jc w:val="center"/>
      </w:pPr>
    </w:p>
    <w:p w:rsidR="008423E4" w:rsidRPr="00B31F0E" w:rsidRDefault="00614BAA" w:rsidP="008423E4"/>
    <w:p w:rsidR="008423E4" w:rsidRPr="00742794" w:rsidRDefault="00614B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43CE6" w:rsidTr="00345119">
        <w:tc>
          <w:tcPr>
            <w:tcW w:w="9576" w:type="dxa"/>
          </w:tcPr>
          <w:p w:rsidR="008423E4" w:rsidRPr="00861995" w:rsidRDefault="00614BAA" w:rsidP="00D0508C">
            <w:pPr>
              <w:jc w:val="right"/>
            </w:pPr>
            <w:r>
              <w:t>C.S.H.B. 281</w:t>
            </w:r>
          </w:p>
        </w:tc>
      </w:tr>
      <w:tr w:rsidR="00A43CE6" w:rsidTr="00345119">
        <w:tc>
          <w:tcPr>
            <w:tcW w:w="9576" w:type="dxa"/>
          </w:tcPr>
          <w:p w:rsidR="008423E4" w:rsidRPr="00861995" w:rsidRDefault="00614BAA" w:rsidP="003022C8">
            <w:pPr>
              <w:jc w:val="right"/>
            </w:pPr>
            <w:r>
              <w:t xml:space="preserve">By: </w:t>
            </w:r>
            <w:r>
              <w:t>Middleton</w:t>
            </w:r>
          </w:p>
        </w:tc>
      </w:tr>
      <w:tr w:rsidR="00A43CE6" w:rsidTr="00345119">
        <w:tc>
          <w:tcPr>
            <w:tcW w:w="9576" w:type="dxa"/>
          </w:tcPr>
          <w:p w:rsidR="008423E4" w:rsidRPr="00861995" w:rsidRDefault="00614BAA" w:rsidP="00345119">
            <w:pPr>
              <w:jc w:val="right"/>
            </w:pPr>
            <w:r>
              <w:t>State Affairs</w:t>
            </w:r>
          </w:p>
        </w:tc>
      </w:tr>
      <w:tr w:rsidR="00A43CE6" w:rsidTr="00345119">
        <w:tc>
          <w:tcPr>
            <w:tcW w:w="9576" w:type="dxa"/>
          </w:tcPr>
          <w:p w:rsidR="008423E4" w:rsidRDefault="00614BAA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614BAA" w:rsidP="008423E4">
      <w:pPr>
        <w:tabs>
          <w:tab w:val="right" w:pos="9360"/>
        </w:tabs>
      </w:pPr>
    </w:p>
    <w:p w:rsidR="008423E4" w:rsidRDefault="00614BAA" w:rsidP="008423E4"/>
    <w:p w:rsidR="008423E4" w:rsidRDefault="00614B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43CE6" w:rsidTr="00345119">
        <w:tc>
          <w:tcPr>
            <w:tcW w:w="9576" w:type="dxa"/>
          </w:tcPr>
          <w:p w:rsidR="008423E4" w:rsidRPr="00A8133F" w:rsidRDefault="00614BAA" w:rsidP="0075554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614BAA" w:rsidP="00755547"/>
          <w:p w:rsidR="00091163" w:rsidRPr="00BE22FF" w:rsidRDefault="00614BAA" w:rsidP="00755547">
            <w:pPr>
              <w:pStyle w:val="Header"/>
              <w:jc w:val="both"/>
            </w:pPr>
            <w:r w:rsidRPr="00BE22FF">
              <w:t xml:space="preserve">There are concerns that the use of public money by political subdivisions for lobbying activities is an improper use of taxpayer </w:t>
            </w:r>
            <w:r>
              <w:t xml:space="preserve">funds </w:t>
            </w:r>
            <w:r w:rsidRPr="00BE22FF">
              <w:t xml:space="preserve">and may lead to conflicts of interest between the legislature and local entities. </w:t>
            </w:r>
            <w:r>
              <w:t>C.S.</w:t>
            </w:r>
            <w:r w:rsidRPr="00BE22FF">
              <w:t xml:space="preserve">H.B. 281 seeks to address these concerns by prohibiting the </w:t>
            </w:r>
            <w:r w:rsidRPr="00BE22FF">
              <w:t>u</w:t>
            </w:r>
            <w:r w:rsidRPr="00BE22FF">
              <w:t xml:space="preserve">se of public money by </w:t>
            </w:r>
            <w:r>
              <w:t xml:space="preserve">certain </w:t>
            </w:r>
            <w:r w:rsidRPr="00BE22FF">
              <w:t xml:space="preserve">political subdivisions for lobbying activities. </w:t>
            </w:r>
          </w:p>
          <w:p w:rsidR="008423E4" w:rsidRPr="00E26B13" w:rsidRDefault="00614BAA" w:rsidP="00755547">
            <w:pPr>
              <w:rPr>
                <w:b/>
              </w:rPr>
            </w:pPr>
          </w:p>
        </w:tc>
      </w:tr>
      <w:tr w:rsidR="00A43CE6" w:rsidTr="00345119">
        <w:tc>
          <w:tcPr>
            <w:tcW w:w="9576" w:type="dxa"/>
          </w:tcPr>
          <w:p w:rsidR="0017725B" w:rsidRDefault="00614BAA" w:rsidP="0075554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</w:t>
            </w:r>
            <w:r>
              <w:rPr>
                <w:b/>
                <w:u w:val="single"/>
              </w:rPr>
              <w:t>T</w:t>
            </w:r>
          </w:p>
          <w:p w:rsidR="0017725B" w:rsidRDefault="00614BAA" w:rsidP="00755547">
            <w:pPr>
              <w:rPr>
                <w:b/>
                <w:u w:val="single"/>
              </w:rPr>
            </w:pPr>
          </w:p>
          <w:p w:rsidR="00DB4ECE" w:rsidRPr="00DB4ECE" w:rsidRDefault="00614BAA" w:rsidP="00755547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the eligibility of a person for community supervision, parole, or </w:t>
            </w:r>
            <w:r>
              <w:t>mandatory supervision.</w:t>
            </w:r>
          </w:p>
          <w:p w:rsidR="0017725B" w:rsidRPr="0017725B" w:rsidRDefault="00614BAA" w:rsidP="00755547">
            <w:pPr>
              <w:rPr>
                <w:b/>
                <w:u w:val="single"/>
              </w:rPr>
            </w:pPr>
          </w:p>
        </w:tc>
      </w:tr>
      <w:tr w:rsidR="00A43CE6" w:rsidTr="00345119">
        <w:tc>
          <w:tcPr>
            <w:tcW w:w="9576" w:type="dxa"/>
          </w:tcPr>
          <w:p w:rsidR="008423E4" w:rsidRPr="00A8133F" w:rsidRDefault="00614BAA" w:rsidP="0075554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614BAA" w:rsidP="00755547"/>
          <w:p w:rsidR="00DB4ECE" w:rsidRDefault="00614BAA" w:rsidP="007555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614BAA" w:rsidP="00755547">
            <w:pPr>
              <w:rPr>
                <w:b/>
              </w:rPr>
            </w:pPr>
          </w:p>
        </w:tc>
      </w:tr>
      <w:tr w:rsidR="00A43CE6" w:rsidTr="00345119">
        <w:tc>
          <w:tcPr>
            <w:tcW w:w="9576" w:type="dxa"/>
          </w:tcPr>
          <w:p w:rsidR="008423E4" w:rsidRPr="00A8133F" w:rsidRDefault="00614BAA" w:rsidP="0075554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614BAA" w:rsidP="00755547"/>
          <w:p w:rsidR="00890CD7" w:rsidRDefault="00614BAA" w:rsidP="00755547">
            <w:pPr>
              <w:pStyle w:val="Header"/>
              <w:jc w:val="both"/>
            </w:pPr>
            <w:r>
              <w:t>C.S.</w:t>
            </w:r>
            <w:r>
              <w:t xml:space="preserve">H.B. 281 </w:t>
            </w:r>
            <w:r>
              <w:t xml:space="preserve">transfers from the Local Government Code to </w:t>
            </w:r>
            <w:r>
              <w:t xml:space="preserve">the Government Code </w:t>
            </w:r>
            <w:r>
              <w:t xml:space="preserve">provisions </w:t>
            </w:r>
            <w:r>
              <w:t>relating to</w:t>
            </w:r>
            <w:r>
              <w:t xml:space="preserve"> restrictions on the lobbying activities of an association or organization to which a political subdivision pays membership fees and dues</w:t>
            </w:r>
            <w:r>
              <w:t>. The bill</w:t>
            </w:r>
            <w:r>
              <w:t xml:space="preserve"> amends th</w:t>
            </w:r>
            <w:r>
              <w:t xml:space="preserve">ose </w:t>
            </w:r>
            <w:r>
              <w:t>Governmen</w:t>
            </w:r>
            <w:r>
              <w:t xml:space="preserve">t Code </w:t>
            </w:r>
            <w:r>
              <w:t xml:space="preserve">provisions </w:t>
            </w:r>
            <w:r>
              <w:t xml:space="preserve">to make the conditions on </w:t>
            </w:r>
            <w:r>
              <w:t xml:space="preserve">a </w:t>
            </w:r>
            <w:r>
              <w:t xml:space="preserve">county </w:t>
            </w:r>
            <w:r>
              <w:t>commissioners court's authority to spend</w:t>
            </w:r>
            <w:r>
              <w:t xml:space="preserve"> </w:t>
            </w:r>
            <w:r>
              <w:t xml:space="preserve">public </w:t>
            </w:r>
            <w:r>
              <w:t xml:space="preserve">money for membership fees and dues of a nonprofit </w:t>
            </w:r>
            <w:r>
              <w:t xml:space="preserve">state </w:t>
            </w:r>
            <w:r>
              <w:t>association</w:t>
            </w:r>
            <w:r>
              <w:t xml:space="preserve"> of counties</w:t>
            </w:r>
            <w:r>
              <w:t>, which include, among others, the condition that</w:t>
            </w:r>
            <w:r>
              <w:t xml:space="preserve"> </w:t>
            </w:r>
            <w:r>
              <w:t>the association is not aff</w:t>
            </w:r>
            <w:r>
              <w:t>il</w:t>
            </w:r>
            <w:r>
              <w:t>iated with a labor organization and the condition that</w:t>
            </w:r>
            <w:r>
              <w:t xml:space="preserve"> </w:t>
            </w:r>
            <w:r>
              <w:t xml:space="preserve">the association </w:t>
            </w:r>
            <w:r>
              <w:t>and its</w:t>
            </w:r>
            <w:r>
              <w:t xml:space="preserve"> employee</w:t>
            </w:r>
            <w:r>
              <w:t xml:space="preserve">s do not </w:t>
            </w:r>
            <w:r>
              <w:t>engage in certain lobbying activities</w:t>
            </w:r>
            <w:r>
              <w:t xml:space="preserve">, applicable to the expenditure of public money by </w:t>
            </w:r>
            <w:r>
              <w:t>the governing body of any political subdivision</w:t>
            </w:r>
            <w:r>
              <w:t xml:space="preserve"> </w:t>
            </w:r>
            <w:r>
              <w:t>for</w:t>
            </w:r>
            <w:r>
              <w:t xml:space="preserve"> membership fees an</w:t>
            </w:r>
            <w:r>
              <w:t>d dues of a nonprofit state association or organization of similarly situated political subdivisions. The bill</w:t>
            </w:r>
            <w:r>
              <w:t xml:space="preserve"> remove</w:t>
            </w:r>
            <w:r>
              <w:t>s</w:t>
            </w:r>
            <w:r>
              <w:t xml:space="preserve"> </w:t>
            </w:r>
            <w:r>
              <w:t xml:space="preserve">from among </w:t>
            </w:r>
            <w:r>
              <w:t>the condition</w:t>
            </w:r>
            <w:r>
              <w:t xml:space="preserve">s </w:t>
            </w:r>
            <w:r w:rsidRPr="00AB3DCC">
              <w:t>on such authority</w:t>
            </w:r>
            <w:r>
              <w:t xml:space="preserve"> </w:t>
            </w:r>
            <w:r>
              <w:t>that an</w:t>
            </w:r>
            <w:r>
              <w:t xml:space="preserve"> </w:t>
            </w:r>
            <w:r>
              <w:t>employee of an applicable association</w:t>
            </w:r>
            <w:r>
              <w:t xml:space="preserve"> not contribute </w:t>
            </w:r>
            <w:r>
              <w:t>to a</w:t>
            </w:r>
            <w:r>
              <w:t xml:space="preserve"> political campaign or endorse</w:t>
            </w:r>
            <w:r>
              <w:t xml:space="preserve"> a candidate for public office.</w:t>
            </w:r>
            <w:r>
              <w:t xml:space="preserve"> </w:t>
            </w:r>
          </w:p>
          <w:p w:rsidR="00890CD7" w:rsidRDefault="00614BAA" w:rsidP="00755547">
            <w:pPr>
              <w:pStyle w:val="Header"/>
              <w:jc w:val="both"/>
            </w:pPr>
          </w:p>
          <w:p w:rsidR="00871E60" w:rsidRDefault="00614BAA" w:rsidP="00755547">
            <w:pPr>
              <w:pStyle w:val="Header"/>
              <w:jc w:val="both"/>
            </w:pPr>
            <w:r>
              <w:t>C.S.</w:t>
            </w:r>
            <w:r>
              <w:t>H.B. 281</w:t>
            </w:r>
            <w:r>
              <w:t xml:space="preserve"> </w:t>
            </w:r>
            <w:r>
              <w:t>prohibit</w:t>
            </w:r>
            <w:r>
              <w:t>s</w:t>
            </w:r>
            <w:r>
              <w:t xml:space="preserve"> the governing body of a political subdivision</w:t>
            </w:r>
            <w:r>
              <w:t xml:space="preserve"> that imposes a tax or</w:t>
            </w:r>
            <w:r>
              <w:t xml:space="preserve"> </w:t>
            </w:r>
            <w:r>
              <w:t xml:space="preserve">a regional mobility authority, toll road authority, or transit authority from spending public money </w:t>
            </w:r>
            <w:r w:rsidRPr="007E15F3">
              <w:t>t</w:t>
            </w:r>
            <w:r w:rsidRPr="007E15F3">
              <w:t>o directly or indirectly influence or attempt</w:t>
            </w:r>
            <w:r>
              <w:t xml:space="preserve"> </w:t>
            </w:r>
            <w:r w:rsidRPr="007E15F3">
              <w:t>to influence the outcome of any legislation pending before the legislature.</w:t>
            </w:r>
            <w:r>
              <w:t xml:space="preserve"> </w:t>
            </w:r>
            <w:r>
              <w:t xml:space="preserve">This prohibition expressly does not apply to a navigation district and </w:t>
            </w:r>
            <w:r>
              <w:t xml:space="preserve">expressly does not prevent </w:t>
            </w:r>
            <w:r>
              <w:t>the following activity:</w:t>
            </w:r>
          </w:p>
          <w:p w:rsidR="00871E60" w:rsidRDefault="00614BAA" w:rsidP="0075554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officer o</w:t>
            </w:r>
            <w:r>
              <w:t>r employee of a political subdivision from providing information for a member of the legislature or appearing before a legislative committee at the request of the committee or the member;</w:t>
            </w:r>
          </w:p>
          <w:p w:rsidR="00871E60" w:rsidRDefault="00614BAA" w:rsidP="0075554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elected officer of a political subdivision from advocating for or</w:t>
            </w:r>
            <w:r>
              <w:t xml:space="preserve"> against or otherwise influencing or attempting to influence the outcome of legislation pending before the legislature while acting as an offic</w:t>
            </w:r>
            <w:r>
              <w:t>er of the political subdivision</w:t>
            </w:r>
            <w:r>
              <w:t>; or</w:t>
            </w:r>
            <w:r>
              <w:t xml:space="preserve"> </w:t>
            </w:r>
          </w:p>
          <w:p w:rsidR="00AB3DCC" w:rsidRDefault="00614BAA" w:rsidP="00755547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an employee of a political subdivision from advocating for or against or oth</w:t>
            </w:r>
            <w:r>
              <w:t>erwise influencing or attempting to influence the outcome of legislation pending before the legislature if those actions would not require a person to register</w:t>
            </w:r>
            <w:r>
              <w:t xml:space="preserve"> under statut</w:t>
            </w:r>
            <w:r>
              <w:t>ory provisions relating to lobbyist registration</w:t>
            </w:r>
            <w:r>
              <w:t>.</w:t>
            </w:r>
            <w:r>
              <w:t xml:space="preserve"> </w:t>
            </w:r>
          </w:p>
          <w:p w:rsidR="00AB3DCC" w:rsidRDefault="00614BAA" w:rsidP="00755547">
            <w:pPr>
              <w:pStyle w:val="Header"/>
              <w:jc w:val="both"/>
            </w:pPr>
          </w:p>
          <w:p w:rsidR="00AD1393" w:rsidRDefault="00614BAA" w:rsidP="00755547">
            <w:pPr>
              <w:pStyle w:val="Header"/>
              <w:jc w:val="both"/>
            </w:pPr>
            <w:r>
              <w:t>C.S.</w:t>
            </w:r>
            <w:r>
              <w:t>H.B. 281</w:t>
            </w:r>
            <w:r w:rsidRPr="00AB3DCC">
              <w:t xml:space="preserve"> </w:t>
            </w:r>
            <w:r>
              <w:t>expands the entitle</w:t>
            </w:r>
            <w:r>
              <w:t>ment of</w:t>
            </w:r>
            <w:r>
              <w:t xml:space="preserve"> a taxpayer of a political subdivision that pays fees or dues to an association or organization </w:t>
            </w:r>
            <w:r>
              <w:t>that engages in certain lobbying activity and</w:t>
            </w:r>
            <w:r>
              <w:t xml:space="preserve"> is </w:t>
            </w:r>
            <w:r>
              <w:t>supported wholly or partly by payment of tax receipts</w:t>
            </w:r>
            <w:r>
              <w:t xml:space="preserve"> to appropriate injunctive relief </w:t>
            </w:r>
            <w:r>
              <w:t>to prevent any fu</w:t>
            </w:r>
            <w:r>
              <w:t xml:space="preserve">rther </w:t>
            </w:r>
            <w:r>
              <w:t xml:space="preserve">such </w:t>
            </w:r>
            <w:r>
              <w:t>lobbying activity</w:t>
            </w:r>
            <w:r>
              <w:t xml:space="preserve"> by the association or organization</w:t>
            </w:r>
            <w:r>
              <w:t xml:space="preserve"> </w:t>
            </w:r>
            <w:r>
              <w:t xml:space="preserve">or any further payments of fees or dues </w:t>
            </w:r>
            <w:r>
              <w:t xml:space="preserve">by extending that entitlement to a resident of </w:t>
            </w:r>
            <w:r>
              <w:t>such a</w:t>
            </w:r>
            <w:r>
              <w:t xml:space="preserve"> political subdivision</w:t>
            </w:r>
            <w:r>
              <w:t xml:space="preserve"> and</w:t>
            </w:r>
            <w:r>
              <w:t xml:space="preserve"> replacing the reference to tax receipts with a reference to public money</w:t>
            </w:r>
            <w:r>
              <w:t>. The bill</w:t>
            </w:r>
            <w:r>
              <w:t xml:space="preserve"> </w:t>
            </w:r>
            <w:r>
              <w:t>entitl</w:t>
            </w:r>
            <w:r>
              <w:t>es</w:t>
            </w:r>
            <w:r>
              <w:t xml:space="preserve"> a taxpayer or resident of a political subdivision that engages in </w:t>
            </w:r>
            <w:r>
              <w:t xml:space="preserve">lobbying </w:t>
            </w:r>
            <w:r>
              <w:t xml:space="preserve">activity prohibited by the bill to appropriate injunctive relief to prevent any further </w:t>
            </w:r>
            <w:r>
              <w:t>such</w:t>
            </w:r>
            <w:r>
              <w:t xml:space="preserve"> activity by the political subdivision. </w:t>
            </w:r>
            <w:r>
              <w:t xml:space="preserve">The bill </w:t>
            </w:r>
            <w:r>
              <w:t xml:space="preserve">entitles </w:t>
            </w:r>
            <w:r>
              <w:t xml:space="preserve">a taxpayer </w:t>
            </w:r>
            <w:r>
              <w:t xml:space="preserve">or resident who prevails in an action </w:t>
            </w:r>
            <w:r>
              <w:t xml:space="preserve">for </w:t>
            </w:r>
            <w:r>
              <w:t xml:space="preserve">such </w:t>
            </w:r>
            <w:r>
              <w:t>injunctive relief</w:t>
            </w:r>
            <w:r>
              <w:t xml:space="preserve"> </w:t>
            </w:r>
            <w:r>
              <w:t xml:space="preserve">to recover </w:t>
            </w:r>
            <w:r>
              <w:t xml:space="preserve">from the political subdivision </w:t>
            </w:r>
            <w:r>
              <w:t xml:space="preserve">the taxpayer's or resident's </w:t>
            </w:r>
            <w:r>
              <w:t>reasonable attorney's fees and costs incurred in bringing the action.</w:t>
            </w:r>
          </w:p>
          <w:p w:rsidR="008C6945" w:rsidRDefault="00614BAA" w:rsidP="00755547">
            <w:pPr>
              <w:pStyle w:val="Header"/>
              <w:jc w:val="both"/>
            </w:pPr>
          </w:p>
          <w:p w:rsidR="00D82384" w:rsidRDefault="00614BAA" w:rsidP="00755547">
            <w:pPr>
              <w:pStyle w:val="Header"/>
              <w:jc w:val="both"/>
            </w:pPr>
            <w:r>
              <w:t xml:space="preserve">C.S.H.B. 281 </w:t>
            </w:r>
            <w:r>
              <w:t xml:space="preserve">makes </w:t>
            </w:r>
            <w:r>
              <w:t>a contract providing for an ex</w:t>
            </w:r>
            <w:r>
              <w:t>penditure or payment prohibited by the bill void on the bill's effective date.</w:t>
            </w:r>
          </w:p>
          <w:p w:rsidR="008423E4" w:rsidRPr="00835628" w:rsidRDefault="00614BAA" w:rsidP="00755547">
            <w:pPr>
              <w:pStyle w:val="Header"/>
              <w:jc w:val="both"/>
              <w:rPr>
                <w:b/>
              </w:rPr>
            </w:pPr>
            <w:r>
              <w:t xml:space="preserve"> </w:t>
            </w:r>
          </w:p>
        </w:tc>
      </w:tr>
      <w:tr w:rsidR="00A43CE6" w:rsidTr="00345119">
        <w:tc>
          <w:tcPr>
            <w:tcW w:w="9576" w:type="dxa"/>
          </w:tcPr>
          <w:p w:rsidR="008423E4" w:rsidRPr="00A8133F" w:rsidRDefault="00614BAA" w:rsidP="0075554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614BAA" w:rsidP="00755547"/>
          <w:p w:rsidR="008423E4" w:rsidRPr="003624F2" w:rsidRDefault="00614BAA" w:rsidP="0075554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614BAA" w:rsidP="00755547">
            <w:pPr>
              <w:rPr>
                <w:b/>
              </w:rPr>
            </w:pPr>
          </w:p>
        </w:tc>
      </w:tr>
      <w:tr w:rsidR="00A43CE6" w:rsidTr="00345119">
        <w:tc>
          <w:tcPr>
            <w:tcW w:w="9576" w:type="dxa"/>
          </w:tcPr>
          <w:p w:rsidR="003022C8" w:rsidRDefault="00614BAA" w:rsidP="0075554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542E6D" w:rsidRDefault="00614BAA" w:rsidP="00755547">
            <w:pPr>
              <w:jc w:val="both"/>
            </w:pPr>
          </w:p>
          <w:p w:rsidR="00542E6D" w:rsidRDefault="00614BAA" w:rsidP="00755547">
            <w:pPr>
              <w:jc w:val="both"/>
            </w:pPr>
            <w:r>
              <w:t xml:space="preserve">While C.S.H.B. 281 may differ from the original in minor or nonsubstantive ways, the following </w:t>
            </w:r>
            <w:r>
              <w:t>summarizes the substantial differences between the introduced and committee substitute versions of the bill.</w:t>
            </w:r>
          </w:p>
          <w:p w:rsidR="00542E6D" w:rsidRDefault="00614BAA" w:rsidP="00755547">
            <w:pPr>
              <w:jc w:val="both"/>
            </w:pPr>
          </w:p>
          <w:p w:rsidR="00542E6D" w:rsidRPr="00542E6D" w:rsidRDefault="00614BAA" w:rsidP="00755547">
            <w:pPr>
              <w:jc w:val="both"/>
            </w:pPr>
            <w:r>
              <w:t xml:space="preserve">The substitute </w:t>
            </w:r>
            <w:r>
              <w:t>specifies that the bill applies to a political subdivision that imposes a tax and does not apply to a navigation district</w:t>
            </w:r>
            <w:r>
              <w:t>. The subs</w:t>
            </w:r>
            <w:r>
              <w:t xml:space="preserve">titute voids a contract that provides for a payment or expenditure </w:t>
            </w:r>
            <w:r>
              <w:t xml:space="preserve">prohibited by the bill </w:t>
            </w:r>
            <w:r>
              <w:t xml:space="preserve">on </w:t>
            </w:r>
            <w:r>
              <w:t xml:space="preserve">its </w:t>
            </w:r>
            <w:r>
              <w:t>effective date.</w:t>
            </w:r>
          </w:p>
        </w:tc>
      </w:tr>
      <w:tr w:rsidR="00A43CE6" w:rsidTr="00345119">
        <w:tc>
          <w:tcPr>
            <w:tcW w:w="9576" w:type="dxa"/>
          </w:tcPr>
          <w:p w:rsidR="003022C8" w:rsidRPr="009C1E9A" w:rsidRDefault="00614BAA" w:rsidP="00755547">
            <w:pPr>
              <w:rPr>
                <w:b/>
                <w:u w:val="single"/>
              </w:rPr>
            </w:pPr>
          </w:p>
        </w:tc>
      </w:tr>
      <w:tr w:rsidR="00A43CE6" w:rsidTr="00345119">
        <w:tc>
          <w:tcPr>
            <w:tcW w:w="9576" w:type="dxa"/>
          </w:tcPr>
          <w:p w:rsidR="003022C8" w:rsidRPr="003022C8" w:rsidRDefault="00614BAA" w:rsidP="00755547">
            <w:pPr>
              <w:jc w:val="both"/>
            </w:pPr>
          </w:p>
        </w:tc>
      </w:tr>
    </w:tbl>
    <w:p w:rsidR="008423E4" w:rsidRPr="00BE0E75" w:rsidRDefault="00614B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614BAA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4BAA">
      <w:r>
        <w:separator/>
      </w:r>
    </w:p>
  </w:endnote>
  <w:endnote w:type="continuationSeparator" w:id="0">
    <w:p w:rsidR="00000000" w:rsidRDefault="0061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4B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43CE6" w:rsidTr="009C1E9A">
      <w:trPr>
        <w:cantSplit/>
      </w:trPr>
      <w:tc>
        <w:tcPr>
          <w:tcW w:w="0" w:type="pct"/>
        </w:tcPr>
        <w:p w:rsidR="00137D90" w:rsidRDefault="00614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614B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614B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614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614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3CE6" w:rsidTr="009C1E9A">
      <w:trPr>
        <w:cantSplit/>
      </w:trPr>
      <w:tc>
        <w:tcPr>
          <w:tcW w:w="0" w:type="pct"/>
        </w:tcPr>
        <w:p w:rsidR="00EC379B" w:rsidRDefault="00614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614B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22765</w:t>
          </w:r>
        </w:p>
      </w:tc>
      <w:tc>
        <w:tcPr>
          <w:tcW w:w="2453" w:type="pct"/>
        </w:tcPr>
        <w:p w:rsidR="00EC379B" w:rsidRDefault="00614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19.87.957</w:t>
          </w:r>
          <w:r>
            <w:fldChar w:fldCharType="end"/>
          </w:r>
        </w:p>
      </w:tc>
    </w:tr>
    <w:tr w:rsidR="00A43CE6" w:rsidTr="009C1E9A">
      <w:trPr>
        <w:cantSplit/>
      </w:trPr>
      <w:tc>
        <w:tcPr>
          <w:tcW w:w="0" w:type="pct"/>
        </w:tcPr>
        <w:p w:rsidR="00EC379B" w:rsidRDefault="00614B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614B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19443</w:t>
          </w:r>
        </w:p>
      </w:tc>
      <w:tc>
        <w:tcPr>
          <w:tcW w:w="2453" w:type="pct"/>
        </w:tcPr>
        <w:p w:rsidR="00EC379B" w:rsidRDefault="00614BAA" w:rsidP="006D504F">
          <w:pPr>
            <w:pStyle w:val="Footer"/>
            <w:rPr>
              <w:rStyle w:val="PageNumber"/>
            </w:rPr>
          </w:pPr>
        </w:p>
        <w:p w:rsidR="00EC379B" w:rsidRDefault="00614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43C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614B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614B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614B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4B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4BAA">
      <w:r>
        <w:separator/>
      </w:r>
    </w:p>
  </w:footnote>
  <w:footnote w:type="continuationSeparator" w:id="0">
    <w:p w:rsidR="00000000" w:rsidRDefault="00614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4B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4B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614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9CB"/>
    <w:multiLevelType w:val="hybridMultilevel"/>
    <w:tmpl w:val="19F2C002"/>
    <w:lvl w:ilvl="0" w:tplc="46546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C2C2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56B8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61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1424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C436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285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8C9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EC9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E6"/>
    <w:rsid w:val="00614BAA"/>
    <w:rsid w:val="00A4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DFE2E7-69D7-4613-8277-6D1FDDD2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A7DE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A7D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A7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A7DE8"/>
    <w:rPr>
      <w:b/>
      <w:bCs/>
    </w:rPr>
  </w:style>
  <w:style w:type="paragraph" w:styleId="Revision">
    <w:name w:val="Revision"/>
    <w:hidden/>
    <w:uiPriority w:val="99"/>
    <w:semiHidden/>
    <w:rsid w:val="00EA7DE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72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4140</Characters>
  <Application>Microsoft Office Word</Application>
  <DocSecurity>4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HB00281 (Committee Report (Substituted))</vt:lpstr>
    </vt:vector>
  </TitlesOfParts>
  <Company>State of Texas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22765</dc:subject>
  <dc:creator>State of Texas</dc:creator>
  <dc:description>HB 281 by Middleton-(H)State Affairs (Substitute Document Number: 86R 19443)</dc:description>
  <cp:lastModifiedBy>Stacey Nicchio</cp:lastModifiedBy>
  <cp:revision>2</cp:revision>
  <cp:lastPrinted>2003-11-26T17:21:00Z</cp:lastPrinted>
  <dcterms:created xsi:type="dcterms:W3CDTF">2019-04-05T22:55:00Z</dcterms:created>
  <dcterms:modified xsi:type="dcterms:W3CDTF">2019-04-05T22:55:00Z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19.87.957</vt:lpwstr>
  </property>
</Properties>
</file>