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3A6A" w:rsidTr="00345119">
        <w:tc>
          <w:tcPr>
            <w:tcW w:w="9576" w:type="dxa"/>
            <w:noWrap/>
          </w:tcPr>
          <w:p w:rsidR="008423E4" w:rsidRPr="0022177D" w:rsidRDefault="004D75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75A7" w:rsidP="008423E4">
      <w:pPr>
        <w:jc w:val="center"/>
      </w:pPr>
    </w:p>
    <w:p w:rsidR="008423E4" w:rsidRPr="00B31F0E" w:rsidRDefault="004D75A7" w:rsidP="008423E4"/>
    <w:p w:rsidR="008423E4" w:rsidRPr="00742794" w:rsidRDefault="004D75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3A6A" w:rsidTr="00345119">
        <w:tc>
          <w:tcPr>
            <w:tcW w:w="9576" w:type="dxa"/>
          </w:tcPr>
          <w:p w:rsidR="008423E4" w:rsidRPr="00861995" w:rsidRDefault="004D75A7" w:rsidP="00345119">
            <w:pPr>
              <w:jc w:val="right"/>
            </w:pPr>
            <w:r>
              <w:t>C.S.H.B. 300</w:t>
            </w:r>
          </w:p>
        </w:tc>
      </w:tr>
      <w:tr w:rsidR="00063A6A" w:rsidTr="00345119">
        <w:tc>
          <w:tcPr>
            <w:tcW w:w="9576" w:type="dxa"/>
          </w:tcPr>
          <w:p w:rsidR="008423E4" w:rsidRPr="00861995" w:rsidRDefault="004D75A7" w:rsidP="009B17FD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063A6A" w:rsidTr="00345119">
        <w:tc>
          <w:tcPr>
            <w:tcW w:w="9576" w:type="dxa"/>
          </w:tcPr>
          <w:p w:rsidR="008423E4" w:rsidRPr="00861995" w:rsidRDefault="004D75A7" w:rsidP="00345119">
            <w:pPr>
              <w:jc w:val="right"/>
            </w:pPr>
            <w:r>
              <w:t>Criminal Jurisprudence</w:t>
            </w:r>
          </w:p>
        </w:tc>
      </w:tr>
      <w:tr w:rsidR="00063A6A" w:rsidTr="00345119">
        <w:tc>
          <w:tcPr>
            <w:tcW w:w="9576" w:type="dxa"/>
          </w:tcPr>
          <w:p w:rsidR="008423E4" w:rsidRDefault="004D75A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75A7" w:rsidP="008423E4">
      <w:pPr>
        <w:tabs>
          <w:tab w:val="right" w:pos="9360"/>
        </w:tabs>
      </w:pPr>
    </w:p>
    <w:p w:rsidR="008423E4" w:rsidRDefault="004D75A7" w:rsidP="008423E4"/>
    <w:p w:rsidR="008423E4" w:rsidRDefault="004D75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3A6A" w:rsidTr="00345119">
        <w:tc>
          <w:tcPr>
            <w:tcW w:w="9576" w:type="dxa"/>
          </w:tcPr>
          <w:p w:rsidR="008423E4" w:rsidRPr="00A8133F" w:rsidRDefault="004D75A7" w:rsidP="00A152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75A7" w:rsidP="00A15240"/>
          <w:p w:rsidR="008423E4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the</w:t>
            </w:r>
            <w:r>
              <w:t xml:space="preserve"> </w:t>
            </w:r>
            <w:r>
              <w:t xml:space="preserve">delivery and </w:t>
            </w:r>
            <w:r>
              <w:t>retention requirements</w:t>
            </w:r>
            <w:r>
              <w:t xml:space="preserve"> </w:t>
            </w:r>
            <w:r>
              <w:t>relating to</w:t>
            </w:r>
            <w:r>
              <w:t xml:space="preserve"> </w:t>
            </w:r>
            <w:r>
              <w:t xml:space="preserve">evidence collected in the course of an inquest and </w:t>
            </w:r>
            <w:r>
              <w:t xml:space="preserve">inquest summary reports </w:t>
            </w:r>
            <w:r>
              <w:t xml:space="preserve">are redundant and unnecessarily burdensome for </w:t>
            </w:r>
            <w:r>
              <w:t>justice and district courts</w:t>
            </w:r>
            <w:r>
              <w:t xml:space="preserve">. </w:t>
            </w:r>
            <w:r>
              <w:t>C.S.H.B.</w:t>
            </w:r>
            <w:r>
              <w:t xml:space="preserve"> 300 </w:t>
            </w:r>
            <w:r>
              <w:t xml:space="preserve">seeks to provide for the </w:t>
            </w:r>
            <w:r>
              <w:t xml:space="preserve">elimination of this </w:t>
            </w:r>
            <w:r>
              <w:t>mandate.</w:t>
            </w:r>
          </w:p>
          <w:p w:rsidR="008423E4" w:rsidRPr="00E26B13" w:rsidRDefault="004D75A7" w:rsidP="00A15240">
            <w:pPr>
              <w:rPr>
                <w:b/>
              </w:rPr>
            </w:pPr>
          </w:p>
        </w:tc>
      </w:tr>
      <w:tr w:rsidR="00063A6A" w:rsidTr="00345119">
        <w:tc>
          <w:tcPr>
            <w:tcW w:w="9576" w:type="dxa"/>
          </w:tcPr>
          <w:p w:rsidR="0017725B" w:rsidRDefault="004D75A7" w:rsidP="00A152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75A7" w:rsidP="00A15240">
            <w:pPr>
              <w:rPr>
                <w:b/>
                <w:u w:val="single"/>
              </w:rPr>
            </w:pPr>
          </w:p>
          <w:p w:rsidR="00564CC7" w:rsidRPr="00564CC7" w:rsidRDefault="004D75A7" w:rsidP="00A15240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4D75A7" w:rsidP="00A15240">
            <w:pPr>
              <w:rPr>
                <w:b/>
                <w:u w:val="single"/>
              </w:rPr>
            </w:pPr>
          </w:p>
        </w:tc>
      </w:tr>
      <w:tr w:rsidR="00063A6A" w:rsidTr="00345119">
        <w:tc>
          <w:tcPr>
            <w:tcW w:w="9576" w:type="dxa"/>
          </w:tcPr>
          <w:p w:rsidR="008423E4" w:rsidRPr="00A8133F" w:rsidRDefault="004D75A7" w:rsidP="00A152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75A7" w:rsidP="00A15240"/>
          <w:p w:rsidR="00564CC7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D75A7" w:rsidP="00A15240">
            <w:pPr>
              <w:rPr>
                <w:b/>
              </w:rPr>
            </w:pPr>
          </w:p>
        </w:tc>
      </w:tr>
      <w:tr w:rsidR="00063A6A" w:rsidTr="00345119">
        <w:tc>
          <w:tcPr>
            <w:tcW w:w="9576" w:type="dxa"/>
          </w:tcPr>
          <w:p w:rsidR="008423E4" w:rsidRPr="00A8133F" w:rsidRDefault="004D75A7" w:rsidP="00A152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75A7" w:rsidP="00A15240"/>
          <w:p w:rsidR="00196C75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300 repeals </w:t>
            </w:r>
            <w:r w:rsidRPr="009717D7">
              <w:t>Article 49.15(d)</w:t>
            </w:r>
            <w:r>
              <w:t xml:space="preserve">, </w:t>
            </w:r>
            <w:r w:rsidRPr="009717D7">
              <w:t xml:space="preserve">Code of </w:t>
            </w:r>
            <w:r w:rsidRPr="009717D7">
              <w:t>Criminal Procedure</w:t>
            </w:r>
            <w:r>
              <w:t xml:space="preserve">, </w:t>
            </w:r>
            <w:r>
              <w:t>requiring</w:t>
            </w:r>
            <w:r>
              <w:t xml:space="preserve"> the certification and delivery of </w:t>
            </w:r>
            <w:r w:rsidRPr="009717D7">
              <w:t xml:space="preserve">a copy of </w:t>
            </w:r>
            <w:r>
              <w:t xml:space="preserve">an </w:t>
            </w:r>
            <w:r w:rsidRPr="009717D7">
              <w:t>inquest summary report</w:t>
            </w:r>
            <w:r>
              <w:t xml:space="preserve"> by a justice of the peace and its retention by a district court clerk</w:t>
            </w:r>
            <w:r w:rsidRPr="009717D7">
              <w:t>.</w:t>
            </w:r>
            <w:r>
              <w:t xml:space="preserve"> The bill authorizes the clerk to destroy the </w:t>
            </w:r>
            <w:r>
              <w:t xml:space="preserve">certified </w:t>
            </w:r>
            <w:r>
              <w:t>copy</w:t>
            </w:r>
            <w:r>
              <w:t xml:space="preserve"> of such a report as it ex</w:t>
            </w:r>
            <w:r>
              <w:t>isted immediately before the bill's effective date</w:t>
            </w:r>
            <w:r>
              <w:t xml:space="preserve"> </w:t>
            </w:r>
            <w:r w:rsidRPr="00A131ED">
              <w:t>in accordance with the district court's records retention schedule</w:t>
            </w:r>
            <w:r>
              <w:t>.</w:t>
            </w:r>
          </w:p>
          <w:p w:rsidR="00196C75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2863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>
              <w:t xml:space="preserve">300 </w:t>
            </w:r>
            <w:r>
              <w:t xml:space="preserve">amends the Code of Criminal Procedure to </w:t>
            </w:r>
            <w:r>
              <w:t>remove the requirement</w:t>
            </w:r>
            <w:r>
              <w:t xml:space="preserve"> </w:t>
            </w:r>
            <w:r w:rsidRPr="00A131ED">
              <w:t>for a justice of the peace</w:t>
            </w:r>
            <w:r>
              <w:t xml:space="preserve"> </w:t>
            </w:r>
            <w:r>
              <w:t xml:space="preserve">to deliver evidence accumulated </w:t>
            </w:r>
            <w:r>
              <w:t xml:space="preserve">in the course of an inquest that </w:t>
            </w:r>
            <w:r w:rsidRPr="004C7C0F">
              <w:t>tends to show the real cause of death or identify the person who caused the death</w:t>
            </w:r>
            <w:r>
              <w:t xml:space="preserve"> </w:t>
            </w:r>
            <w:r w:rsidRPr="004C7C0F">
              <w:t xml:space="preserve">to the district </w:t>
            </w:r>
            <w:r>
              <w:t xml:space="preserve">court </w:t>
            </w:r>
            <w:r w:rsidRPr="004C7C0F">
              <w:t>clerk for safekeeping</w:t>
            </w:r>
            <w:r>
              <w:t>. 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each</w:t>
            </w:r>
            <w:r>
              <w:t xml:space="preserve"> </w:t>
            </w:r>
            <w:r>
              <w:t xml:space="preserve">clerk in possession of evidence delivered </w:t>
            </w:r>
            <w:r>
              <w:t xml:space="preserve">for </w:t>
            </w:r>
            <w:r>
              <w:t xml:space="preserve">that </w:t>
            </w:r>
            <w:r>
              <w:t xml:space="preserve">safekeeping </w:t>
            </w:r>
            <w:r>
              <w:t xml:space="preserve">to </w:t>
            </w:r>
            <w:r w:rsidRPr="00D279DD">
              <w:t>transfe</w:t>
            </w:r>
            <w:r w:rsidRPr="00D279DD">
              <w:t xml:space="preserve">r the evidence to the appropriate law enforcement agency </w:t>
            </w:r>
            <w:r w:rsidRPr="00C4103A">
              <w:t xml:space="preserve">to be stored in the agency's property room </w:t>
            </w:r>
            <w:r w:rsidRPr="00D279DD">
              <w:t>for safekeeping</w:t>
            </w:r>
            <w:r>
              <w:t>.</w:t>
            </w:r>
          </w:p>
          <w:p w:rsidR="008423E4" w:rsidRPr="00835628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63A6A" w:rsidTr="00345119">
        <w:tc>
          <w:tcPr>
            <w:tcW w:w="9576" w:type="dxa"/>
          </w:tcPr>
          <w:p w:rsidR="008423E4" w:rsidRPr="00A8133F" w:rsidRDefault="004D75A7" w:rsidP="00A152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75A7" w:rsidP="00A15240"/>
          <w:p w:rsidR="008423E4" w:rsidRPr="003624F2" w:rsidRDefault="004D75A7" w:rsidP="00A152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D75A7" w:rsidP="00A15240">
            <w:pPr>
              <w:rPr>
                <w:b/>
              </w:rPr>
            </w:pPr>
          </w:p>
        </w:tc>
      </w:tr>
      <w:tr w:rsidR="00063A6A" w:rsidTr="00345119">
        <w:tc>
          <w:tcPr>
            <w:tcW w:w="9576" w:type="dxa"/>
          </w:tcPr>
          <w:p w:rsidR="009B17FD" w:rsidRDefault="004D75A7" w:rsidP="00A152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353BCB" w:rsidRDefault="004D75A7" w:rsidP="00A15240">
            <w:pPr>
              <w:jc w:val="both"/>
            </w:pPr>
          </w:p>
          <w:p w:rsidR="00353BCB" w:rsidRDefault="004D75A7" w:rsidP="00A15240">
            <w:pPr>
              <w:jc w:val="both"/>
            </w:pPr>
            <w:r>
              <w:t>While C.S.H.B.</w:t>
            </w:r>
            <w:r>
              <w:t xml:space="preserve"> </w:t>
            </w:r>
            <w:r>
              <w:t>300 may differ from the original in minor or nonsubstantive ways, the following summarizes the substantial differences between the introduced and committee substitute versions of the bill.</w:t>
            </w:r>
          </w:p>
          <w:p w:rsidR="00353BCB" w:rsidRDefault="004D75A7" w:rsidP="00A15240">
            <w:pPr>
              <w:jc w:val="both"/>
            </w:pPr>
          </w:p>
          <w:p w:rsidR="00353BCB" w:rsidRDefault="004D75A7" w:rsidP="00A15240">
            <w:pPr>
              <w:jc w:val="both"/>
            </w:pPr>
            <w:r>
              <w:t>The substitute includes provisions:</w:t>
            </w:r>
          </w:p>
          <w:p w:rsidR="00353BCB" w:rsidRDefault="004D75A7" w:rsidP="00A1524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removing a requirement for a justice of the peace to deliver certain evidence</w:t>
            </w:r>
            <w:r>
              <w:t xml:space="preserve"> accumulated in the course of an inquest</w:t>
            </w:r>
            <w:r>
              <w:t xml:space="preserve"> to a district</w:t>
            </w:r>
            <w:r>
              <w:t xml:space="preserve"> court</w:t>
            </w:r>
            <w:r>
              <w:t xml:space="preserve"> clerk;</w:t>
            </w:r>
          </w:p>
          <w:p w:rsidR="00353BCB" w:rsidRDefault="004D75A7" w:rsidP="00A1524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requiring each clerk in possession of </w:t>
            </w:r>
            <w:r>
              <w:t xml:space="preserve">that </w:t>
            </w:r>
            <w:r>
              <w:t>evidence to transfer the evidence to the appropriate law enforcement</w:t>
            </w:r>
            <w:r>
              <w:t xml:space="preserve"> agency; and</w:t>
            </w:r>
          </w:p>
          <w:p w:rsidR="00353BCB" w:rsidRDefault="004D75A7" w:rsidP="00A1524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authorizing a </w:t>
            </w:r>
            <w:r>
              <w:t xml:space="preserve">district </w:t>
            </w:r>
            <w:r>
              <w:t>court clerk to destroy the certified copy of an inquest summary report.</w:t>
            </w:r>
          </w:p>
          <w:p w:rsidR="00353BCB" w:rsidRPr="00353BCB" w:rsidRDefault="004D75A7" w:rsidP="00A15240">
            <w:pPr>
              <w:jc w:val="both"/>
            </w:pPr>
          </w:p>
        </w:tc>
      </w:tr>
      <w:tr w:rsidR="00063A6A" w:rsidTr="00345119">
        <w:tc>
          <w:tcPr>
            <w:tcW w:w="9576" w:type="dxa"/>
          </w:tcPr>
          <w:p w:rsidR="009B17FD" w:rsidRPr="009C1E9A" w:rsidRDefault="004D75A7" w:rsidP="00A15240">
            <w:pPr>
              <w:rPr>
                <w:b/>
                <w:u w:val="single"/>
              </w:rPr>
            </w:pPr>
          </w:p>
        </w:tc>
      </w:tr>
      <w:tr w:rsidR="00063A6A" w:rsidTr="00345119">
        <w:tc>
          <w:tcPr>
            <w:tcW w:w="9576" w:type="dxa"/>
          </w:tcPr>
          <w:p w:rsidR="009B17FD" w:rsidRPr="009B17FD" w:rsidRDefault="004D75A7" w:rsidP="00A15240">
            <w:pPr>
              <w:jc w:val="both"/>
            </w:pPr>
          </w:p>
        </w:tc>
      </w:tr>
    </w:tbl>
    <w:p w:rsidR="008423E4" w:rsidRPr="00BE0E75" w:rsidRDefault="004D75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75A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5A7">
      <w:r>
        <w:separator/>
      </w:r>
    </w:p>
  </w:endnote>
  <w:endnote w:type="continuationSeparator" w:id="0">
    <w:p w:rsidR="00000000" w:rsidRDefault="004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7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3A6A" w:rsidTr="009C1E9A">
      <w:trPr>
        <w:cantSplit/>
      </w:trPr>
      <w:tc>
        <w:tcPr>
          <w:tcW w:w="0" w:type="pct"/>
        </w:tcPr>
        <w:p w:rsidR="00137D90" w:rsidRDefault="004D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75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75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7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A6A" w:rsidTr="009C1E9A">
      <w:trPr>
        <w:cantSplit/>
      </w:trPr>
      <w:tc>
        <w:tcPr>
          <w:tcW w:w="0" w:type="pct"/>
        </w:tcPr>
        <w:p w:rsidR="00EC379B" w:rsidRDefault="004D7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75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26283</w:t>
          </w:r>
        </w:p>
      </w:tc>
      <w:tc>
        <w:tcPr>
          <w:tcW w:w="2453" w:type="pct"/>
        </w:tcPr>
        <w:p w:rsidR="00EC379B" w:rsidRDefault="004D7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19.101.189</w:t>
          </w:r>
          <w:r>
            <w:fldChar w:fldCharType="end"/>
          </w:r>
        </w:p>
      </w:tc>
    </w:tr>
    <w:tr w:rsidR="00063A6A" w:rsidTr="009C1E9A">
      <w:trPr>
        <w:cantSplit/>
      </w:trPr>
      <w:tc>
        <w:tcPr>
          <w:tcW w:w="0" w:type="pct"/>
        </w:tcPr>
        <w:p w:rsidR="00EC379B" w:rsidRDefault="004D75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75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23147</w:t>
          </w:r>
        </w:p>
      </w:tc>
      <w:tc>
        <w:tcPr>
          <w:tcW w:w="2453" w:type="pct"/>
        </w:tcPr>
        <w:p w:rsidR="00EC379B" w:rsidRDefault="004D75A7" w:rsidP="006D504F">
          <w:pPr>
            <w:pStyle w:val="Footer"/>
            <w:rPr>
              <w:rStyle w:val="PageNumber"/>
            </w:rPr>
          </w:pPr>
        </w:p>
        <w:p w:rsidR="00EC379B" w:rsidRDefault="004D7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A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75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D75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75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5A7">
      <w:r>
        <w:separator/>
      </w:r>
    </w:p>
  </w:footnote>
  <w:footnote w:type="continuationSeparator" w:id="0">
    <w:p w:rsidR="00000000" w:rsidRDefault="004D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7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7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7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D2E"/>
    <w:multiLevelType w:val="hybridMultilevel"/>
    <w:tmpl w:val="55400704"/>
    <w:lvl w:ilvl="0" w:tplc="9E3A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2B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80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C2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C2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5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C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E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6A"/>
    <w:rsid w:val="00063A6A"/>
    <w:rsid w:val="004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6A0DF-9A63-40AA-A81E-88C48A3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17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1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7D7"/>
    <w:rPr>
      <w:b/>
      <w:bCs/>
    </w:rPr>
  </w:style>
  <w:style w:type="character" w:styleId="Hyperlink">
    <w:name w:val="Hyperlink"/>
    <w:basedOn w:val="DefaultParagraphFont"/>
    <w:unhideWhenUsed/>
    <w:rsid w:val="005A2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2176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HB00300 (Committee Report (Substituted))</vt:lpstr>
    </vt:vector>
  </TitlesOfParts>
  <Company>State of Texas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26283</dc:subject>
  <dc:creator>State of Texas</dc:creator>
  <dc:description>HB 300 by Murr-(H)Criminal Jurisprudence (Substitute Document Number: 86R 23147)</dc:description>
  <cp:lastModifiedBy>Stacey Nicchio</cp:lastModifiedBy>
  <cp:revision>2</cp:revision>
  <cp:lastPrinted>2019-04-10T19:33:00Z</cp:lastPrinted>
  <dcterms:created xsi:type="dcterms:W3CDTF">2019-04-24T00:22:00Z</dcterms:created>
  <dcterms:modified xsi:type="dcterms:W3CDTF">2019-04-24T00:22:00Z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19.101.189</vt:lpwstr>
  </property>
</Properties>
</file>