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19B4" w:rsidTr="00345119">
        <w:tc>
          <w:tcPr>
            <w:tcW w:w="9576" w:type="dxa"/>
            <w:noWrap/>
          </w:tcPr>
          <w:p w:rsidR="008423E4" w:rsidRPr="0022177D" w:rsidRDefault="005E51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51F5" w:rsidP="008423E4">
      <w:pPr>
        <w:jc w:val="center"/>
      </w:pPr>
    </w:p>
    <w:p w:rsidR="008423E4" w:rsidRPr="00B31F0E" w:rsidRDefault="005E51F5" w:rsidP="008423E4"/>
    <w:p w:rsidR="008423E4" w:rsidRPr="00742794" w:rsidRDefault="005E51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19B4" w:rsidTr="00345119">
        <w:tc>
          <w:tcPr>
            <w:tcW w:w="9576" w:type="dxa"/>
          </w:tcPr>
          <w:p w:rsidR="008423E4" w:rsidRPr="00861995" w:rsidRDefault="005E51F5" w:rsidP="00345119">
            <w:pPr>
              <w:jc w:val="right"/>
            </w:pPr>
            <w:r>
              <w:t>H.B. 330</w:t>
            </w:r>
          </w:p>
        </w:tc>
      </w:tr>
      <w:tr w:rsidR="000119B4" w:rsidTr="00345119">
        <w:tc>
          <w:tcPr>
            <w:tcW w:w="9576" w:type="dxa"/>
          </w:tcPr>
          <w:p w:rsidR="008423E4" w:rsidRPr="00861995" w:rsidRDefault="005E51F5" w:rsidP="00DB5C7A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0119B4" w:rsidTr="00345119">
        <w:tc>
          <w:tcPr>
            <w:tcW w:w="9576" w:type="dxa"/>
          </w:tcPr>
          <w:p w:rsidR="008423E4" w:rsidRPr="00861995" w:rsidRDefault="005E51F5" w:rsidP="00345119">
            <w:pPr>
              <w:jc w:val="right"/>
            </w:pPr>
            <w:r>
              <w:t>Public Education</w:t>
            </w:r>
          </w:p>
        </w:tc>
      </w:tr>
      <w:tr w:rsidR="000119B4" w:rsidTr="00345119">
        <w:tc>
          <w:tcPr>
            <w:tcW w:w="9576" w:type="dxa"/>
          </w:tcPr>
          <w:p w:rsidR="008423E4" w:rsidRDefault="005E51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51F5" w:rsidP="008423E4">
      <w:pPr>
        <w:tabs>
          <w:tab w:val="right" w:pos="9360"/>
        </w:tabs>
      </w:pPr>
    </w:p>
    <w:p w:rsidR="008423E4" w:rsidRDefault="005E51F5" w:rsidP="008423E4"/>
    <w:p w:rsidR="008423E4" w:rsidRDefault="005E51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19B4" w:rsidTr="00345119">
        <w:tc>
          <w:tcPr>
            <w:tcW w:w="9576" w:type="dxa"/>
          </w:tcPr>
          <w:p w:rsidR="008423E4" w:rsidRPr="00A8133F" w:rsidRDefault="005E51F5" w:rsidP="00B511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51F5" w:rsidP="00B511B4"/>
          <w:p w:rsidR="008423E4" w:rsidRDefault="005E51F5" w:rsidP="00B511B4">
            <w:pPr>
              <w:pStyle w:val="Header"/>
              <w:jc w:val="both"/>
            </w:pPr>
            <w:r>
              <w:t>It h</w:t>
            </w:r>
            <w:r>
              <w:t>as been noted that</w:t>
            </w:r>
            <w:r>
              <w:t>,</w:t>
            </w:r>
            <w:r>
              <w:t xml:space="preserve"> </w:t>
            </w:r>
            <w:r>
              <w:t>although</w:t>
            </w:r>
            <w:r>
              <w:t xml:space="preserve"> there are several exclusions available when calculating dropout and completions rates, pu</w:t>
            </w:r>
            <w:r>
              <w:t>blic school</w:t>
            </w:r>
            <w:r>
              <w:t xml:space="preserve"> district</w:t>
            </w:r>
            <w:r>
              <w:t>s</w:t>
            </w:r>
            <w:r>
              <w:t xml:space="preserve"> </w:t>
            </w:r>
            <w:r>
              <w:t>cannot</w:t>
            </w:r>
            <w:r>
              <w:t xml:space="preserve"> </w:t>
            </w:r>
            <w:r>
              <w:t xml:space="preserve">exclude </w:t>
            </w:r>
            <w:r>
              <w:t>a student who</w:t>
            </w:r>
            <w:r>
              <w:t xml:space="preserve"> </w:t>
            </w:r>
            <w:r>
              <w:t>is unable to return to school du</w:t>
            </w:r>
            <w:r>
              <w:t>e to</w:t>
            </w:r>
            <w:r>
              <w:t xml:space="preserve"> </w:t>
            </w:r>
            <w:r>
              <w:t>a</w:t>
            </w:r>
            <w:r>
              <w:t xml:space="preserve"> debilitating</w:t>
            </w:r>
            <w:r>
              <w:t xml:space="preserve"> condition, illness, or </w:t>
            </w:r>
            <w:r>
              <w:t>inj</w:t>
            </w:r>
            <w:r>
              <w:t>ury</w:t>
            </w:r>
            <w:r>
              <w:t xml:space="preserve"> </w:t>
            </w:r>
            <w:r>
              <w:t>from the calculation of</w:t>
            </w:r>
            <w:r>
              <w:t xml:space="preserve"> </w:t>
            </w:r>
            <w:r>
              <w:t xml:space="preserve">high school </w:t>
            </w:r>
            <w:r>
              <w:t xml:space="preserve">dropout </w:t>
            </w:r>
            <w:r>
              <w:t>and completion rates</w:t>
            </w:r>
            <w:r>
              <w:t xml:space="preserve">. This lack of flexibility can negatively impact </w:t>
            </w:r>
            <w:r>
              <w:t xml:space="preserve">the </w:t>
            </w:r>
            <w:r>
              <w:t xml:space="preserve">district's </w:t>
            </w:r>
            <w:r>
              <w:t>a</w:t>
            </w:r>
            <w:r>
              <w:t>ccoun</w:t>
            </w:r>
            <w:r>
              <w:t>tability rating</w:t>
            </w:r>
            <w:r>
              <w:t>, particularly that of small school district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330 </w:t>
            </w:r>
            <w:r>
              <w:t>seeks to</w:t>
            </w:r>
            <w:r>
              <w:t xml:space="preserve"> address this issue by requiring the commissioner of education to exclude </w:t>
            </w:r>
            <w:r>
              <w:t>students who have suffered a condition, injury, or illness that requires substantial medical care and le</w:t>
            </w:r>
            <w:r>
              <w:t>aves the student unable to attend school</w:t>
            </w:r>
            <w:r>
              <w:t xml:space="preserve"> from the computation of </w:t>
            </w:r>
            <w:r w:rsidRPr="0039694F">
              <w:t>dropout and completion rates</w:t>
            </w:r>
            <w:r>
              <w:t>.</w:t>
            </w:r>
          </w:p>
          <w:p w:rsidR="008423E4" w:rsidRPr="00E26B13" w:rsidRDefault="005E51F5" w:rsidP="00B511B4">
            <w:pPr>
              <w:rPr>
                <w:b/>
              </w:rPr>
            </w:pPr>
          </w:p>
        </w:tc>
      </w:tr>
      <w:tr w:rsidR="000119B4" w:rsidTr="00345119">
        <w:tc>
          <w:tcPr>
            <w:tcW w:w="9576" w:type="dxa"/>
          </w:tcPr>
          <w:p w:rsidR="0017725B" w:rsidRDefault="005E51F5" w:rsidP="00B511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51F5" w:rsidP="00B511B4">
            <w:pPr>
              <w:rPr>
                <w:b/>
                <w:u w:val="single"/>
              </w:rPr>
            </w:pPr>
          </w:p>
          <w:p w:rsidR="00794BD5" w:rsidRPr="00794BD5" w:rsidRDefault="005E51F5" w:rsidP="00B511B4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5E51F5" w:rsidP="00B511B4">
            <w:pPr>
              <w:rPr>
                <w:b/>
                <w:u w:val="single"/>
              </w:rPr>
            </w:pPr>
          </w:p>
        </w:tc>
      </w:tr>
      <w:tr w:rsidR="000119B4" w:rsidTr="00345119">
        <w:tc>
          <w:tcPr>
            <w:tcW w:w="9576" w:type="dxa"/>
          </w:tcPr>
          <w:p w:rsidR="008423E4" w:rsidRPr="00A8133F" w:rsidRDefault="005E51F5" w:rsidP="00B511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51F5" w:rsidP="00B511B4"/>
          <w:p w:rsidR="00794BD5" w:rsidRDefault="005E51F5" w:rsidP="00B51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5E51F5" w:rsidP="00B511B4">
            <w:pPr>
              <w:rPr>
                <w:b/>
              </w:rPr>
            </w:pPr>
          </w:p>
        </w:tc>
      </w:tr>
      <w:tr w:rsidR="000119B4" w:rsidTr="00345119">
        <w:tc>
          <w:tcPr>
            <w:tcW w:w="9576" w:type="dxa"/>
          </w:tcPr>
          <w:p w:rsidR="008423E4" w:rsidRPr="00A8133F" w:rsidRDefault="005E51F5" w:rsidP="00B511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51F5" w:rsidP="00B511B4"/>
          <w:p w:rsidR="008423E4" w:rsidRDefault="005E51F5" w:rsidP="00B51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330 amends the Education Code</w:t>
            </w:r>
            <w:r>
              <w:t xml:space="preserve"> to require the commissioner of education</w:t>
            </w:r>
            <w:r>
              <w:t xml:space="preserve"> to </w:t>
            </w:r>
            <w:r>
              <w:t xml:space="preserve">exclude </w:t>
            </w:r>
            <w:r w:rsidRPr="00B1010A">
              <w:t>students who have suffered a condition, injury, or illness that requires substa</w:t>
            </w:r>
            <w:r w:rsidRPr="00B1010A">
              <w:t>ntial medical care and leaves the student unable to attend school</w:t>
            </w:r>
            <w:r>
              <w:t xml:space="preserve"> from the computation of dropout and completion rates </w:t>
            </w:r>
            <w:r>
              <w:t xml:space="preserve">as </w:t>
            </w:r>
            <w:r>
              <w:t xml:space="preserve">performance </w:t>
            </w:r>
            <w:r>
              <w:t>indicators</w:t>
            </w:r>
            <w:r>
              <w:t xml:space="preserve"> of student achievement</w:t>
            </w:r>
            <w:r>
              <w:t xml:space="preserve"> </w:t>
            </w:r>
            <w:r>
              <w:t>for the purposes of public school</w:t>
            </w:r>
            <w:r>
              <w:t xml:space="preserve"> system</w:t>
            </w:r>
            <w:r>
              <w:t xml:space="preserve"> accountability. The bill applies beginning with</w:t>
            </w:r>
            <w:r>
              <w:t xml:space="preserve"> the 2019-2020 school year.</w:t>
            </w:r>
          </w:p>
          <w:p w:rsidR="008423E4" w:rsidRPr="00835628" w:rsidRDefault="005E51F5" w:rsidP="00B511B4">
            <w:pPr>
              <w:rPr>
                <w:b/>
              </w:rPr>
            </w:pPr>
          </w:p>
        </w:tc>
      </w:tr>
      <w:tr w:rsidR="000119B4" w:rsidTr="00345119">
        <w:tc>
          <w:tcPr>
            <w:tcW w:w="9576" w:type="dxa"/>
          </w:tcPr>
          <w:p w:rsidR="008423E4" w:rsidRPr="00A8133F" w:rsidRDefault="005E51F5" w:rsidP="00B511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51F5" w:rsidP="00B511B4"/>
          <w:p w:rsidR="008423E4" w:rsidRPr="003624F2" w:rsidRDefault="005E51F5" w:rsidP="00B511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E51F5" w:rsidP="00B511B4">
            <w:pPr>
              <w:rPr>
                <w:b/>
              </w:rPr>
            </w:pPr>
          </w:p>
        </w:tc>
      </w:tr>
    </w:tbl>
    <w:p w:rsidR="008423E4" w:rsidRPr="00BE0E75" w:rsidRDefault="005E51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51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51F5">
      <w:r>
        <w:separator/>
      </w:r>
    </w:p>
  </w:endnote>
  <w:endnote w:type="continuationSeparator" w:id="0">
    <w:p w:rsidR="00000000" w:rsidRDefault="005E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19B4" w:rsidTr="009C1E9A">
      <w:trPr>
        <w:cantSplit/>
      </w:trPr>
      <w:tc>
        <w:tcPr>
          <w:tcW w:w="0" w:type="pct"/>
        </w:tcPr>
        <w:p w:rsidR="00137D90" w:rsidRDefault="005E51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51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51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51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5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9B4" w:rsidTr="009C1E9A">
      <w:trPr>
        <w:cantSplit/>
      </w:trPr>
      <w:tc>
        <w:tcPr>
          <w:tcW w:w="0" w:type="pct"/>
        </w:tcPr>
        <w:p w:rsidR="00EC379B" w:rsidRDefault="005E51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51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15171</w:t>
          </w:r>
        </w:p>
      </w:tc>
      <w:tc>
        <w:tcPr>
          <w:tcW w:w="2453" w:type="pct"/>
        </w:tcPr>
        <w:p w:rsidR="00EC379B" w:rsidRDefault="005E5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19.53.729</w:t>
          </w:r>
          <w:r>
            <w:fldChar w:fldCharType="end"/>
          </w:r>
        </w:p>
      </w:tc>
    </w:tr>
    <w:tr w:rsidR="000119B4" w:rsidTr="009C1E9A">
      <w:trPr>
        <w:cantSplit/>
      </w:trPr>
      <w:tc>
        <w:tcPr>
          <w:tcW w:w="0" w:type="pct"/>
        </w:tcPr>
        <w:p w:rsidR="00EC379B" w:rsidRDefault="005E51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51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51F5" w:rsidP="006D504F">
          <w:pPr>
            <w:pStyle w:val="Footer"/>
            <w:rPr>
              <w:rStyle w:val="PageNumber"/>
            </w:rPr>
          </w:pPr>
        </w:p>
        <w:p w:rsidR="00EC379B" w:rsidRDefault="005E5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9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51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51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51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51F5">
      <w:r>
        <w:separator/>
      </w:r>
    </w:p>
  </w:footnote>
  <w:footnote w:type="continuationSeparator" w:id="0">
    <w:p w:rsidR="00000000" w:rsidRDefault="005E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B4"/>
    <w:rsid w:val="000119B4"/>
    <w:rsid w:val="005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D1A13-063B-4A1C-9B11-36D6B01D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4B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4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4B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4BD5"/>
    <w:rPr>
      <w:b/>
      <w:bCs/>
    </w:rPr>
  </w:style>
  <w:style w:type="paragraph" w:styleId="Revision">
    <w:name w:val="Revision"/>
    <w:hidden/>
    <w:uiPriority w:val="99"/>
    <w:semiHidden/>
    <w:rsid w:val="00525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HB00330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15171</dc:subject>
  <dc:creator>State of Texas</dc:creator>
  <dc:description>HB 330 by VanDeaver-(H)Public Education</dc:description>
  <cp:lastModifiedBy>Erin Conway</cp:lastModifiedBy>
  <cp:revision>2</cp:revision>
  <cp:lastPrinted>2003-11-26T17:21:00Z</cp:lastPrinted>
  <dcterms:created xsi:type="dcterms:W3CDTF">2019-03-11T23:10:00Z</dcterms:created>
  <dcterms:modified xsi:type="dcterms:W3CDTF">2019-03-11T23:10:00Z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19.53.729</vt:lpwstr>
  </property>
</Properties>
</file>