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0E00" w:rsidTr="00345119">
        <w:tc>
          <w:tcPr>
            <w:tcW w:w="9576" w:type="dxa"/>
            <w:noWrap/>
          </w:tcPr>
          <w:p w:rsidR="008423E4" w:rsidRPr="0022177D" w:rsidRDefault="00FA0D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0D41" w:rsidP="008423E4">
      <w:pPr>
        <w:jc w:val="center"/>
      </w:pPr>
    </w:p>
    <w:p w:rsidR="008423E4" w:rsidRPr="00B31F0E" w:rsidRDefault="00FA0D41" w:rsidP="008423E4"/>
    <w:p w:rsidR="008423E4" w:rsidRPr="00742794" w:rsidRDefault="00FA0D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0E00" w:rsidTr="00345119">
        <w:tc>
          <w:tcPr>
            <w:tcW w:w="9576" w:type="dxa"/>
          </w:tcPr>
          <w:p w:rsidR="008423E4" w:rsidRPr="00861995" w:rsidRDefault="00FA0D41" w:rsidP="00C50936">
            <w:pPr>
              <w:jc w:val="right"/>
            </w:pPr>
            <w:r>
              <w:t>C.S.H.B. 331</w:t>
            </w:r>
          </w:p>
        </w:tc>
      </w:tr>
      <w:tr w:rsidR="00D00E00" w:rsidTr="00345119">
        <w:tc>
          <w:tcPr>
            <w:tcW w:w="9576" w:type="dxa"/>
          </w:tcPr>
          <w:p w:rsidR="008423E4" w:rsidRPr="00861995" w:rsidRDefault="00FA0D41" w:rsidP="00EF14C0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D00E00" w:rsidTr="00345119">
        <w:tc>
          <w:tcPr>
            <w:tcW w:w="9576" w:type="dxa"/>
          </w:tcPr>
          <w:p w:rsidR="008423E4" w:rsidRPr="00861995" w:rsidRDefault="00FA0D41" w:rsidP="00C50936">
            <w:pPr>
              <w:jc w:val="right"/>
            </w:pPr>
            <w:r>
              <w:t>Public Health</w:t>
            </w:r>
          </w:p>
        </w:tc>
      </w:tr>
      <w:tr w:rsidR="00D00E00" w:rsidTr="00345119">
        <w:tc>
          <w:tcPr>
            <w:tcW w:w="9576" w:type="dxa"/>
          </w:tcPr>
          <w:p w:rsidR="008423E4" w:rsidRDefault="00FA0D41" w:rsidP="00C5093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0D41" w:rsidP="008423E4">
      <w:pPr>
        <w:tabs>
          <w:tab w:val="right" w:pos="9360"/>
        </w:tabs>
      </w:pPr>
    </w:p>
    <w:p w:rsidR="008423E4" w:rsidRDefault="00FA0D41" w:rsidP="008423E4"/>
    <w:p w:rsidR="008423E4" w:rsidRDefault="00FA0D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0E00" w:rsidTr="00345119">
        <w:tc>
          <w:tcPr>
            <w:tcW w:w="9576" w:type="dxa"/>
          </w:tcPr>
          <w:p w:rsidR="008423E4" w:rsidRPr="00A8133F" w:rsidRDefault="00FA0D41" w:rsidP="008D32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0D41" w:rsidP="008D32E2"/>
          <w:p w:rsidR="008423E4" w:rsidRDefault="00FA0D41" w:rsidP="008D32E2">
            <w:pPr>
              <w:pStyle w:val="Header"/>
              <w:jc w:val="both"/>
            </w:pPr>
            <w:r w:rsidRPr="002D5D0A">
              <w:t xml:space="preserve">Concerns have been raised about the accessibility of </w:t>
            </w:r>
            <w:r>
              <w:t>certain information relating to</w:t>
            </w:r>
            <w:r w:rsidRPr="002D5D0A">
              <w:t xml:space="preserve"> </w:t>
            </w:r>
            <w:r>
              <w:t>recommendation</w:t>
            </w:r>
            <w:r>
              <w:t xml:space="preserve">s </w:t>
            </w:r>
            <w:r w:rsidRPr="002D5D0A">
              <w:t xml:space="preserve">made </w:t>
            </w:r>
            <w:r w:rsidRPr="004F7D55">
              <w:t xml:space="preserve">to the Department of Public Safety </w:t>
            </w:r>
            <w:r w:rsidRPr="002D5D0A">
              <w:t xml:space="preserve">by the medical advisory board </w:t>
            </w:r>
            <w:r>
              <w:t>regarding certain driver</w:t>
            </w:r>
            <w:r>
              <w:t>'</w:t>
            </w:r>
            <w:r>
              <w:t>s</w:t>
            </w:r>
            <w:r>
              <w:t xml:space="preserve"> license holders and</w:t>
            </w:r>
            <w:r w:rsidRPr="002D5D0A">
              <w:t xml:space="preserve"> </w:t>
            </w:r>
            <w:r>
              <w:t>applicants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331 </w:t>
            </w:r>
            <w:r>
              <w:t xml:space="preserve">seeks to address these concerns and </w:t>
            </w:r>
            <w:r>
              <w:t xml:space="preserve">provide greater </w:t>
            </w:r>
            <w:r>
              <w:t>transparency by</w:t>
            </w:r>
            <w:r>
              <w:t xml:space="preserve">, among other </w:t>
            </w:r>
            <w:r>
              <w:t>provisions</w:t>
            </w:r>
            <w:r>
              <w:t>, revising the membership of</w:t>
            </w:r>
            <w:r>
              <w:t xml:space="preserve"> the board</w:t>
            </w:r>
            <w:r>
              <w:t>.</w:t>
            </w:r>
          </w:p>
          <w:p w:rsidR="008423E4" w:rsidRPr="00E26B13" w:rsidRDefault="00FA0D41" w:rsidP="008D32E2">
            <w:pPr>
              <w:rPr>
                <w:b/>
              </w:rPr>
            </w:pPr>
          </w:p>
        </w:tc>
      </w:tr>
      <w:tr w:rsidR="00D00E00" w:rsidTr="00345119">
        <w:tc>
          <w:tcPr>
            <w:tcW w:w="9576" w:type="dxa"/>
          </w:tcPr>
          <w:p w:rsidR="0017725B" w:rsidRDefault="00FA0D41" w:rsidP="008D32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0D41" w:rsidP="008D32E2">
            <w:pPr>
              <w:rPr>
                <w:b/>
                <w:u w:val="single"/>
              </w:rPr>
            </w:pPr>
          </w:p>
          <w:p w:rsidR="005237D5" w:rsidRPr="005237D5" w:rsidRDefault="00FA0D41" w:rsidP="008D32E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A0D41" w:rsidP="008D32E2">
            <w:pPr>
              <w:rPr>
                <w:b/>
                <w:u w:val="single"/>
              </w:rPr>
            </w:pPr>
          </w:p>
        </w:tc>
      </w:tr>
      <w:tr w:rsidR="00D00E00" w:rsidTr="00345119">
        <w:tc>
          <w:tcPr>
            <w:tcW w:w="9576" w:type="dxa"/>
          </w:tcPr>
          <w:p w:rsidR="008423E4" w:rsidRPr="00A8133F" w:rsidRDefault="00FA0D41" w:rsidP="008D32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0D41" w:rsidP="008D32E2"/>
          <w:p w:rsidR="005237D5" w:rsidRDefault="00FA0D41" w:rsidP="008D32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0D41" w:rsidP="008D32E2">
            <w:pPr>
              <w:rPr>
                <w:b/>
              </w:rPr>
            </w:pPr>
          </w:p>
        </w:tc>
      </w:tr>
      <w:tr w:rsidR="00D00E00" w:rsidTr="00345119">
        <w:tc>
          <w:tcPr>
            <w:tcW w:w="9576" w:type="dxa"/>
          </w:tcPr>
          <w:p w:rsidR="008423E4" w:rsidRPr="00A8133F" w:rsidRDefault="00FA0D41" w:rsidP="008D32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0D41" w:rsidP="008D32E2"/>
          <w:p w:rsidR="008423E4" w:rsidRDefault="00FA0D41" w:rsidP="008D32E2">
            <w:pPr>
              <w:pStyle w:val="Header"/>
              <w:jc w:val="both"/>
            </w:pPr>
            <w:r>
              <w:t>C.S.</w:t>
            </w:r>
            <w:r>
              <w:t xml:space="preserve">H.B. 331 amends the Health and Safety Code to require </w:t>
            </w:r>
            <w:r>
              <w:t>the commissioner of state health services to appoint</w:t>
            </w:r>
            <w:r>
              <w:t xml:space="preserve"> to the medical advisory board</w:t>
            </w:r>
            <w:r>
              <w:t xml:space="preserve"> at least</w:t>
            </w:r>
            <w:r>
              <w:t xml:space="preserve"> one</w:t>
            </w:r>
            <w:r>
              <w:t xml:space="preserve"> representative from the Department of State Health Services</w:t>
            </w:r>
            <w:r>
              <w:t xml:space="preserve"> (DSHS)</w:t>
            </w:r>
            <w:r>
              <w:t xml:space="preserve"> and </w:t>
            </w:r>
            <w:r>
              <w:t>at least one representative fr</w:t>
            </w:r>
            <w:r>
              <w:t xml:space="preserve">om </w:t>
            </w:r>
            <w:r>
              <w:t>the Department of Public Safety</w:t>
            </w:r>
            <w:r>
              <w:t xml:space="preserve"> (DPS)</w:t>
            </w:r>
            <w:r>
              <w:t>. The bill replaces the authorization for the executive commissioner of the Health and Human Services Commission to adopt rules to govern the activities of the board with a requirement to do so</w:t>
            </w:r>
            <w:r>
              <w:t xml:space="preserve">. The bill </w:t>
            </w:r>
            <w:r>
              <w:t>requires the</w:t>
            </w:r>
            <w:r>
              <w:t xml:space="preserve"> executive commissioner to annually appoint from among the </w:t>
            </w:r>
            <w:r>
              <w:t xml:space="preserve">board </w:t>
            </w:r>
            <w:r>
              <w:t xml:space="preserve">members a chair and a vice chair of the board and </w:t>
            </w:r>
            <w:r>
              <w:t xml:space="preserve">to </w:t>
            </w:r>
            <w:r>
              <w:t xml:space="preserve">annually review the board's rules and internal procedures. The bill requires at least one member of </w:t>
            </w:r>
            <w:r>
              <w:t>a panel of the board</w:t>
            </w:r>
            <w:r>
              <w:t xml:space="preserve"> </w:t>
            </w:r>
            <w:r>
              <w:t xml:space="preserve">to </w:t>
            </w:r>
            <w:r>
              <w:t>have medical e</w:t>
            </w:r>
            <w:r>
              <w:t xml:space="preserve">xpertise relating to the medical condition of </w:t>
            </w:r>
            <w:r>
              <w:t>the</w:t>
            </w:r>
            <w:r>
              <w:t xml:space="preserve"> driver's license or handgun license</w:t>
            </w:r>
            <w:r>
              <w:t xml:space="preserve"> </w:t>
            </w:r>
            <w:r>
              <w:t>applicant or license holder</w:t>
            </w:r>
            <w:r>
              <w:t xml:space="preserve"> whose </w:t>
            </w:r>
            <w:r>
              <w:t xml:space="preserve">application or license is being considered by the panel.   </w:t>
            </w:r>
          </w:p>
          <w:p w:rsidR="008423E4" w:rsidRPr="00835628" w:rsidRDefault="00FA0D41" w:rsidP="008D32E2">
            <w:pPr>
              <w:rPr>
                <w:b/>
              </w:rPr>
            </w:pPr>
          </w:p>
        </w:tc>
      </w:tr>
      <w:tr w:rsidR="00D00E00" w:rsidTr="00345119">
        <w:tc>
          <w:tcPr>
            <w:tcW w:w="9576" w:type="dxa"/>
          </w:tcPr>
          <w:p w:rsidR="008423E4" w:rsidRPr="00A8133F" w:rsidRDefault="00FA0D41" w:rsidP="008D32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0D41" w:rsidP="008D32E2"/>
          <w:p w:rsidR="008423E4" w:rsidRPr="003624F2" w:rsidRDefault="00FA0D41" w:rsidP="008D32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237D5">
              <w:t>September 1, 2019.</w:t>
            </w:r>
          </w:p>
          <w:p w:rsidR="008423E4" w:rsidRPr="00233FDB" w:rsidRDefault="00FA0D41" w:rsidP="008D32E2">
            <w:pPr>
              <w:rPr>
                <w:b/>
              </w:rPr>
            </w:pPr>
          </w:p>
        </w:tc>
      </w:tr>
      <w:tr w:rsidR="00D00E00" w:rsidTr="00345119">
        <w:tc>
          <w:tcPr>
            <w:tcW w:w="9576" w:type="dxa"/>
          </w:tcPr>
          <w:p w:rsidR="00EF14C0" w:rsidRDefault="00FA0D41" w:rsidP="008D32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24158B" w:rsidRDefault="00FA0D41" w:rsidP="008D32E2">
            <w:pPr>
              <w:jc w:val="both"/>
            </w:pPr>
          </w:p>
          <w:p w:rsidR="0024158B" w:rsidRDefault="00FA0D41" w:rsidP="008D32E2">
            <w:pPr>
              <w:jc w:val="both"/>
            </w:pPr>
            <w:r>
              <w:t>While C.S.H.B. 331 may differ from the original in minor or nonsubstantive ways, the following summarizes the substantial differences between the introduced and committee substitute versions of the bill.</w:t>
            </w:r>
          </w:p>
          <w:p w:rsidR="0024158B" w:rsidRDefault="00FA0D41" w:rsidP="008D32E2">
            <w:pPr>
              <w:jc w:val="both"/>
            </w:pPr>
          </w:p>
          <w:p w:rsidR="002837B0" w:rsidRDefault="00FA0D41" w:rsidP="008D32E2">
            <w:pPr>
              <w:jc w:val="both"/>
            </w:pPr>
            <w:r>
              <w:t>The substitute does not include</w:t>
            </w:r>
            <w:r>
              <w:t xml:space="preserve"> any provisions from the original, which</w:t>
            </w:r>
            <w:r>
              <w:t xml:space="preserve"> </w:t>
            </w:r>
            <w:r>
              <w:t>requires</w:t>
            </w:r>
            <w:r>
              <w:t xml:space="preserve"> all meetings of the board or a panel of the board </w:t>
            </w:r>
            <w:r>
              <w:t>to be conducted in accordance with</w:t>
            </w:r>
            <w:r>
              <w:t xml:space="preserve"> </w:t>
            </w:r>
            <w:r w:rsidRPr="002837B0">
              <w:t>state open meetings law</w:t>
            </w:r>
            <w:r>
              <w:t>. The substitute</w:t>
            </w:r>
            <w:r>
              <w:t xml:space="preserve"> includes instead the following provisions:</w:t>
            </w:r>
          </w:p>
          <w:p w:rsidR="002837B0" w:rsidRDefault="00FA0D41" w:rsidP="008D32E2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requirement </w:t>
            </w:r>
            <w:r>
              <w:t xml:space="preserve">for the appointment </w:t>
            </w:r>
            <w:r>
              <w:t>to t</w:t>
            </w:r>
            <w:r>
              <w:t xml:space="preserve">he board </w:t>
            </w:r>
            <w:r>
              <w:t xml:space="preserve">of at least one </w:t>
            </w:r>
            <w:r>
              <w:t>representative</w:t>
            </w:r>
            <w:r>
              <w:t xml:space="preserve"> </w:t>
            </w:r>
            <w:r>
              <w:t xml:space="preserve">from </w:t>
            </w:r>
            <w:r>
              <w:t>DSHS</w:t>
            </w:r>
            <w:r>
              <w:t xml:space="preserve"> </w:t>
            </w:r>
            <w:r w:rsidRPr="003A5507">
              <w:t>and</w:t>
            </w:r>
            <w:r>
              <w:t xml:space="preserve"> at least one representative from</w:t>
            </w:r>
            <w:r w:rsidRPr="003A5507">
              <w:t xml:space="preserve"> </w:t>
            </w:r>
            <w:r>
              <w:t>DPS</w:t>
            </w:r>
            <w:r>
              <w:t>;</w:t>
            </w:r>
          </w:p>
          <w:p w:rsidR="002837B0" w:rsidRDefault="00FA0D41" w:rsidP="008D32E2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requirement</w:t>
            </w:r>
            <w:r>
              <w:t>s</w:t>
            </w:r>
            <w:r>
              <w:t xml:space="preserve"> for the executive commissioner to adopt rules governing the board, appoint a chair and vice chair of the board, and annually review the board's rules a</w:t>
            </w:r>
            <w:r>
              <w:t>nd procedures; and</w:t>
            </w:r>
          </w:p>
          <w:p w:rsidR="003D5F8A" w:rsidRDefault="00FA0D41" w:rsidP="008D32E2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a requirement for at least one member</w:t>
            </w:r>
            <w:r>
              <w:t xml:space="preserve"> of a panel of the board</w:t>
            </w:r>
            <w:r>
              <w:t xml:space="preserve"> to have expertise relating to the medical condition of</w:t>
            </w:r>
            <w:r>
              <w:t xml:space="preserve"> the </w:t>
            </w:r>
            <w:r>
              <w:t>applicant or license holder</w:t>
            </w:r>
            <w:r>
              <w:t xml:space="preserve"> whose </w:t>
            </w:r>
            <w:r>
              <w:t xml:space="preserve">application </w:t>
            </w:r>
            <w:r>
              <w:t>or license is</w:t>
            </w:r>
            <w:r>
              <w:t xml:space="preserve"> being considered by the panel.</w:t>
            </w:r>
          </w:p>
          <w:p w:rsidR="0024158B" w:rsidRPr="0024158B" w:rsidRDefault="00FA0D41" w:rsidP="008D32E2">
            <w:pPr>
              <w:jc w:val="both"/>
            </w:pPr>
          </w:p>
        </w:tc>
      </w:tr>
      <w:tr w:rsidR="00D00E00" w:rsidTr="00345119">
        <w:tc>
          <w:tcPr>
            <w:tcW w:w="9576" w:type="dxa"/>
          </w:tcPr>
          <w:p w:rsidR="00EF14C0" w:rsidRPr="009C1E9A" w:rsidRDefault="00FA0D41" w:rsidP="008D32E2">
            <w:pPr>
              <w:rPr>
                <w:b/>
                <w:u w:val="single"/>
              </w:rPr>
            </w:pPr>
          </w:p>
        </w:tc>
      </w:tr>
      <w:tr w:rsidR="00D00E00" w:rsidTr="00345119">
        <w:tc>
          <w:tcPr>
            <w:tcW w:w="9576" w:type="dxa"/>
          </w:tcPr>
          <w:p w:rsidR="00EF14C0" w:rsidRPr="00EF14C0" w:rsidRDefault="00FA0D41" w:rsidP="008D32E2">
            <w:pPr>
              <w:jc w:val="both"/>
            </w:pPr>
          </w:p>
        </w:tc>
      </w:tr>
    </w:tbl>
    <w:p w:rsidR="008423E4" w:rsidRPr="00BE0E75" w:rsidRDefault="00FA0D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0D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D41">
      <w:r>
        <w:separator/>
      </w:r>
    </w:p>
  </w:endnote>
  <w:endnote w:type="continuationSeparator" w:id="0">
    <w:p w:rsidR="00000000" w:rsidRDefault="00FA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0E00" w:rsidTr="009C1E9A">
      <w:trPr>
        <w:cantSplit/>
      </w:trPr>
      <w:tc>
        <w:tcPr>
          <w:tcW w:w="0" w:type="pct"/>
        </w:tcPr>
        <w:p w:rsidR="00137D90" w:rsidRDefault="00FA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0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0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0E00" w:rsidTr="009C1E9A">
      <w:trPr>
        <w:cantSplit/>
      </w:trPr>
      <w:tc>
        <w:tcPr>
          <w:tcW w:w="0" w:type="pct"/>
        </w:tcPr>
        <w:p w:rsidR="00EC379B" w:rsidRDefault="00FA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0D41" w:rsidP="00C5093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26661</w:t>
          </w:r>
        </w:p>
      </w:tc>
      <w:tc>
        <w:tcPr>
          <w:tcW w:w="2453" w:type="pct"/>
        </w:tcPr>
        <w:p w:rsidR="00EC379B" w:rsidRDefault="00FA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19.102.1280</w:t>
          </w:r>
          <w:r>
            <w:fldChar w:fldCharType="end"/>
          </w:r>
        </w:p>
      </w:tc>
    </w:tr>
    <w:tr w:rsidR="00D00E00" w:rsidTr="009C1E9A">
      <w:trPr>
        <w:cantSplit/>
      </w:trPr>
      <w:tc>
        <w:tcPr>
          <w:tcW w:w="0" w:type="pct"/>
        </w:tcPr>
        <w:p w:rsidR="00EC379B" w:rsidRDefault="00FA0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0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23784</w:t>
          </w:r>
        </w:p>
      </w:tc>
      <w:tc>
        <w:tcPr>
          <w:tcW w:w="2453" w:type="pct"/>
        </w:tcPr>
        <w:p w:rsidR="00EC379B" w:rsidRDefault="00FA0D41" w:rsidP="006D504F">
          <w:pPr>
            <w:pStyle w:val="Footer"/>
            <w:rPr>
              <w:rStyle w:val="PageNumber"/>
            </w:rPr>
          </w:pPr>
        </w:p>
        <w:p w:rsidR="00EC379B" w:rsidRDefault="00FA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0E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0D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A0D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0D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D41">
      <w:r>
        <w:separator/>
      </w:r>
    </w:p>
  </w:footnote>
  <w:footnote w:type="continuationSeparator" w:id="0">
    <w:p w:rsidR="00000000" w:rsidRDefault="00FA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0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16"/>
    <w:multiLevelType w:val="hybridMultilevel"/>
    <w:tmpl w:val="79EE23B4"/>
    <w:lvl w:ilvl="0" w:tplc="3ACAD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8E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CB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E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5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6B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6A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67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E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5447"/>
    <w:multiLevelType w:val="hybridMultilevel"/>
    <w:tmpl w:val="F92E1258"/>
    <w:lvl w:ilvl="0" w:tplc="227AF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26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00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C2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08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2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B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0"/>
    <w:rsid w:val="00D00E00"/>
    <w:rsid w:val="00F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085BB-FEF7-4F26-A5C8-B7DC697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37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7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37D5"/>
    <w:rPr>
      <w:b/>
      <w:bCs/>
    </w:rPr>
  </w:style>
  <w:style w:type="paragraph" w:styleId="Revision">
    <w:name w:val="Revision"/>
    <w:hidden/>
    <w:uiPriority w:val="99"/>
    <w:semiHidden/>
    <w:rsid w:val="00DF01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2508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HB00331 (Committee Report (Substituted))</vt:lpstr>
    </vt:vector>
  </TitlesOfParts>
  <Company>State of Texas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26661</dc:subject>
  <dc:creator>State of Texas</dc:creator>
  <dc:description>HB 331 by VanDeaver-(H)Public Health (Substitute Document Number: 86R 23784)</dc:description>
  <cp:lastModifiedBy>Laura Ramsay</cp:lastModifiedBy>
  <cp:revision>2</cp:revision>
  <cp:lastPrinted>2003-11-26T17:21:00Z</cp:lastPrinted>
  <dcterms:created xsi:type="dcterms:W3CDTF">2019-04-16T21:53:00Z</dcterms:created>
  <dcterms:modified xsi:type="dcterms:W3CDTF">2019-04-16T21:53:00Z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19.102.1280</vt:lpwstr>
  </property>
</Properties>
</file>