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2E81" w:rsidTr="00345119">
        <w:tc>
          <w:tcPr>
            <w:tcW w:w="9576" w:type="dxa"/>
            <w:noWrap/>
          </w:tcPr>
          <w:p w:rsidR="008423E4" w:rsidRPr="0022177D" w:rsidRDefault="002622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22B4" w:rsidP="008423E4">
      <w:pPr>
        <w:jc w:val="center"/>
      </w:pPr>
    </w:p>
    <w:p w:rsidR="008423E4" w:rsidRPr="00B31F0E" w:rsidRDefault="002622B4" w:rsidP="008423E4"/>
    <w:p w:rsidR="008423E4" w:rsidRPr="00742794" w:rsidRDefault="002622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2E81" w:rsidTr="00345119">
        <w:tc>
          <w:tcPr>
            <w:tcW w:w="9576" w:type="dxa"/>
          </w:tcPr>
          <w:p w:rsidR="008423E4" w:rsidRPr="00861995" w:rsidRDefault="002622B4" w:rsidP="00345119">
            <w:pPr>
              <w:jc w:val="right"/>
            </w:pPr>
            <w:r>
              <w:t>H.B. 347</w:t>
            </w:r>
          </w:p>
        </w:tc>
      </w:tr>
      <w:tr w:rsidR="00B02E81" w:rsidTr="00345119">
        <w:tc>
          <w:tcPr>
            <w:tcW w:w="9576" w:type="dxa"/>
          </w:tcPr>
          <w:p w:rsidR="008423E4" w:rsidRPr="00861995" w:rsidRDefault="002622B4" w:rsidP="00415EE9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B02E81" w:rsidTr="00345119">
        <w:tc>
          <w:tcPr>
            <w:tcW w:w="9576" w:type="dxa"/>
          </w:tcPr>
          <w:p w:rsidR="008423E4" w:rsidRPr="00861995" w:rsidRDefault="002622B4" w:rsidP="00345119">
            <w:pPr>
              <w:jc w:val="right"/>
            </w:pPr>
            <w:r>
              <w:t>Land &amp; Resource Management</w:t>
            </w:r>
          </w:p>
        </w:tc>
      </w:tr>
      <w:tr w:rsidR="00B02E81" w:rsidTr="00345119">
        <w:tc>
          <w:tcPr>
            <w:tcW w:w="9576" w:type="dxa"/>
          </w:tcPr>
          <w:p w:rsidR="008423E4" w:rsidRDefault="002622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22B4" w:rsidP="008423E4">
      <w:pPr>
        <w:tabs>
          <w:tab w:val="right" w:pos="9360"/>
        </w:tabs>
      </w:pPr>
    </w:p>
    <w:p w:rsidR="008423E4" w:rsidRDefault="002622B4" w:rsidP="008423E4"/>
    <w:p w:rsidR="008423E4" w:rsidRDefault="002622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2E81" w:rsidTr="00345119">
        <w:tc>
          <w:tcPr>
            <w:tcW w:w="9576" w:type="dxa"/>
          </w:tcPr>
          <w:p w:rsidR="008423E4" w:rsidRPr="00A8133F" w:rsidRDefault="002622B4" w:rsidP="000679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22B4" w:rsidP="00067993"/>
          <w:p w:rsidR="008423E4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while recent changes </w:t>
            </w:r>
            <w:r>
              <w:t xml:space="preserve">to municipal annexation procedures have been made </w:t>
            </w:r>
            <w:r>
              <w:t xml:space="preserve"> to address</w:t>
            </w:r>
            <w:r>
              <w:t xml:space="preserve"> </w:t>
            </w:r>
            <w:r>
              <w:t xml:space="preserve">certain property </w:t>
            </w:r>
            <w:r>
              <w:t>protections</w:t>
            </w:r>
            <w:r>
              <w:t>,</w:t>
            </w:r>
            <w:r>
              <w:t xml:space="preserve"> such as</w:t>
            </w:r>
            <w:r>
              <w:t xml:space="preserve"> the need for greater transparency and property owner participation in the municipal annexation process</w:t>
            </w:r>
            <w:r>
              <w:t xml:space="preserve">, such </w:t>
            </w:r>
            <w:r>
              <w:t xml:space="preserve">protections could still be expanded. </w:t>
            </w:r>
            <w:r>
              <w:t xml:space="preserve">H.B. 347 seeks to </w:t>
            </w:r>
            <w:r>
              <w:t xml:space="preserve">provide for such expansion by setting out provisions relating to </w:t>
            </w:r>
            <w:r w:rsidRPr="00B47CE7">
              <w:t>elimin</w:t>
            </w:r>
            <w:r w:rsidRPr="00B47CE7">
              <w:t>ating distinctions in the application of consent annexation requirements</w:t>
            </w:r>
            <w:r>
              <w:t>.</w:t>
            </w:r>
          </w:p>
          <w:p w:rsidR="008423E4" w:rsidRPr="00E26B13" w:rsidRDefault="002622B4" w:rsidP="00067993">
            <w:pPr>
              <w:rPr>
                <w:b/>
              </w:rPr>
            </w:pPr>
          </w:p>
        </w:tc>
      </w:tr>
      <w:tr w:rsidR="00B02E81" w:rsidTr="00345119">
        <w:tc>
          <w:tcPr>
            <w:tcW w:w="9576" w:type="dxa"/>
          </w:tcPr>
          <w:p w:rsidR="0017725B" w:rsidRDefault="002622B4" w:rsidP="000679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22B4" w:rsidP="00067993">
            <w:pPr>
              <w:rPr>
                <w:b/>
                <w:u w:val="single"/>
              </w:rPr>
            </w:pPr>
          </w:p>
          <w:p w:rsidR="00ED5DAA" w:rsidRPr="00ED5DAA" w:rsidRDefault="002622B4" w:rsidP="00067993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2622B4" w:rsidP="00067993">
            <w:pPr>
              <w:rPr>
                <w:b/>
                <w:u w:val="single"/>
              </w:rPr>
            </w:pPr>
          </w:p>
        </w:tc>
      </w:tr>
      <w:tr w:rsidR="00B02E81" w:rsidTr="00345119">
        <w:tc>
          <w:tcPr>
            <w:tcW w:w="9576" w:type="dxa"/>
          </w:tcPr>
          <w:p w:rsidR="008423E4" w:rsidRPr="00A8133F" w:rsidRDefault="002622B4" w:rsidP="000679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22B4" w:rsidP="00067993"/>
          <w:p w:rsidR="002259FE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2622B4" w:rsidP="00067993">
            <w:pPr>
              <w:rPr>
                <w:b/>
              </w:rPr>
            </w:pPr>
          </w:p>
        </w:tc>
      </w:tr>
      <w:tr w:rsidR="00B02E81" w:rsidTr="00345119">
        <w:tc>
          <w:tcPr>
            <w:tcW w:w="9576" w:type="dxa"/>
          </w:tcPr>
          <w:p w:rsidR="008423E4" w:rsidRPr="00A8133F" w:rsidRDefault="002622B4" w:rsidP="000679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22B4" w:rsidP="00067993"/>
          <w:p w:rsidR="008423E4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347 amends the Local Government Code to eliminate</w:t>
            </w:r>
            <w:r>
              <w:t xml:space="preserve"> the tier system with regard to</w:t>
            </w:r>
            <w:r>
              <w:t xml:space="preserve"> the application of consent</w:t>
            </w:r>
            <w:r>
              <w:t xml:space="preserve"> municipal</w:t>
            </w:r>
            <w:r>
              <w:t xml:space="preserve"> annexation requirements. The bill repeals the municipal annexation </w:t>
            </w:r>
            <w:r>
              <w:t xml:space="preserve">definitions of "tier 1 county," "tier 2 county," "tier 1 municipality," and "tier 2 municipality." </w:t>
            </w:r>
            <w:r>
              <w:t xml:space="preserve">The bill repeals </w:t>
            </w:r>
            <w:r>
              <w:t xml:space="preserve">general annexation authority provisions applicable to a tier 1 municipality.  </w:t>
            </w:r>
          </w:p>
          <w:p w:rsidR="008347ED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E02B9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347 </w:t>
            </w:r>
            <w:r>
              <w:t xml:space="preserve">repeals </w:t>
            </w:r>
            <w:r>
              <w:t xml:space="preserve">certain </w:t>
            </w:r>
            <w:r>
              <w:t>provisions relating to tier 1 munic</w:t>
            </w:r>
            <w:r>
              <w:t>ip</w:t>
            </w:r>
            <w:r>
              <w:t>ality</w:t>
            </w:r>
            <w:r>
              <w:t xml:space="preserve"> annexation procedures for areas annexed under a municipal annexation plan, including provisions relating to a required municipal annexation plan</w:t>
            </w:r>
            <w:r>
              <w:t xml:space="preserve">, </w:t>
            </w:r>
            <w:r>
              <w:t xml:space="preserve">a required inventory of services and facilities, </w:t>
            </w:r>
            <w:r>
              <w:t>annexation hearing requirements, required negotiation</w:t>
            </w:r>
            <w:r>
              <w:t xml:space="preserve">s, contracts for the provision of services in lieu of annexation, </w:t>
            </w:r>
            <w:r>
              <w:t xml:space="preserve">and arbitration regarding negotiations for services. The bill retains, and makes applicable </w:t>
            </w:r>
            <w:r>
              <w:t xml:space="preserve">only </w:t>
            </w:r>
            <w:r>
              <w:t xml:space="preserve">to an annexation </w:t>
            </w:r>
            <w:r>
              <w:t xml:space="preserve">of </w:t>
            </w:r>
            <w:r>
              <w:t xml:space="preserve">an area exempted from consent annexation procedures, </w:t>
            </w:r>
            <w:r>
              <w:t xml:space="preserve">provisions relating </w:t>
            </w:r>
            <w:r>
              <w:t xml:space="preserve">to width requirements, </w:t>
            </w:r>
            <w:r>
              <w:t xml:space="preserve">annexation of certain adjacent areas, </w:t>
            </w:r>
            <w:r>
              <w:t xml:space="preserve">the </w:t>
            </w:r>
            <w:r>
              <w:t>maximum amount of annexation</w:t>
            </w:r>
            <w:r>
              <w:t xml:space="preserve"> in a calendar year</w:t>
            </w:r>
            <w:r>
              <w:t xml:space="preserve">, </w:t>
            </w:r>
            <w:r w:rsidRPr="007E4933">
              <w:t>provision of services</w:t>
            </w:r>
            <w:r>
              <w:t xml:space="preserve"> to an annexed area</w:t>
            </w:r>
            <w:r>
              <w:t xml:space="preserve">, </w:t>
            </w:r>
            <w:r>
              <w:t>and findings required for an annexation that would surround an area.</w:t>
            </w:r>
            <w:r w:rsidRPr="00B558B4">
              <w:t xml:space="preserve"> </w:t>
            </w:r>
            <w:r>
              <w:t>The bill repeals a provision th</w:t>
            </w:r>
            <w:r>
              <w:t>at establishes that municipal annexation provisions</w:t>
            </w:r>
            <w:r w:rsidRPr="007E4933">
              <w:t xml:space="preserve"> do not affect the obligation of a municipality that has adopted the fire fighters' and police officers' civil service law to provide police, fire, or emergency medical services within the municipality's c</w:t>
            </w:r>
            <w:r w:rsidRPr="007E4933">
              <w:t xml:space="preserve">orporate boundaries by means of personnel classified in accordance with </w:t>
            </w:r>
            <w:r>
              <w:t>such civil service law</w:t>
            </w:r>
            <w:r w:rsidRPr="007E4933">
              <w:t>.</w:t>
            </w:r>
          </w:p>
          <w:p w:rsidR="002E02B9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D27A7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347 makes </w:t>
            </w:r>
            <w:r>
              <w:t xml:space="preserve">tier 1 municipality annexation procedures </w:t>
            </w:r>
            <w:r>
              <w:t xml:space="preserve">that applied to </w:t>
            </w:r>
            <w:r>
              <w:t xml:space="preserve">an area exempted from a municipal annexation plan applicable </w:t>
            </w:r>
            <w:r>
              <w:t xml:space="preserve">to </w:t>
            </w:r>
            <w:r>
              <w:t xml:space="preserve">an annexation of an area under </w:t>
            </w:r>
            <w:r>
              <w:t>provisions relating to</w:t>
            </w:r>
            <w:r>
              <w:t xml:space="preserve"> </w:t>
            </w:r>
            <w:r>
              <w:t xml:space="preserve">the following </w:t>
            </w:r>
            <w:r>
              <w:t xml:space="preserve">that are </w:t>
            </w:r>
            <w:r>
              <w:t xml:space="preserve">also </w:t>
            </w:r>
            <w:r>
              <w:t>exempted from consent annexation procedures</w:t>
            </w:r>
            <w:r>
              <w:t xml:space="preserve"> as provided by the bill</w:t>
            </w:r>
            <w:r>
              <w:t>, unless otherwise specifically provided by law</w:t>
            </w:r>
            <w:r>
              <w:t>: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certain enclaves;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industrial district;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area owned </w:t>
            </w:r>
            <w:r>
              <w:t xml:space="preserve">by a Type A general-law municipality; </w:t>
            </w:r>
          </w:p>
          <w:p w:rsidR="00751226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navigable stream;</w:t>
            </w:r>
            <w:r>
              <w:t xml:space="preserve">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certain strategic partnerships;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municipally owned reservoir;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municipally owned airport; and </w:t>
            </w:r>
          </w:p>
          <w:p w:rsidR="008D27A7" w:rsidRDefault="002622B4" w:rsidP="00F55ED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road and right-of-way.</w:t>
            </w:r>
          </w:p>
          <w:p w:rsidR="008D27A7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58B4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repeals </w:t>
            </w:r>
            <w:r>
              <w:t>provisions that limit</w:t>
            </w:r>
            <w:r>
              <w:t xml:space="preserve"> </w:t>
            </w:r>
            <w:r>
              <w:t xml:space="preserve">to a tier 2 municipality </w:t>
            </w:r>
            <w:r>
              <w:t xml:space="preserve">the applicability of </w:t>
            </w:r>
            <w:r>
              <w:t xml:space="preserve">provisions </w:t>
            </w:r>
            <w:r>
              <w:t xml:space="preserve">relating to </w:t>
            </w:r>
            <w:r>
              <w:t>consent annexation</w:t>
            </w:r>
            <w:r>
              <w:t>s</w:t>
            </w:r>
            <w:r>
              <w:t xml:space="preserve">, including </w:t>
            </w:r>
            <w:r>
              <w:t>provisions relating to</w:t>
            </w:r>
            <w:r>
              <w:t xml:space="preserve"> general annexation authority and procedures, </w:t>
            </w:r>
            <w:r>
              <w:t>the annexation of an area on the request of owners</w:t>
            </w:r>
            <w:r>
              <w:t xml:space="preserve">, the annexation of an area with a population of less than 200 </w:t>
            </w:r>
            <w:r>
              <w:t xml:space="preserve">by petition, </w:t>
            </w:r>
            <w:r>
              <w:t>and the annexation of an area with a population of at least 200 by election</w:t>
            </w:r>
            <w:r>
              <w:t xml:space="preserve">. </w:t>
            </w:r>
            <w:r>
              <w:t xml:space="preserve">  </w:t>
            </w:r>
            <w:r>
              <w:t xml:space="preserve">  </w:t>
            </w:r>
          </w:p>
          <w:p w:rsidR="002F0621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0621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347 </w:t>
            </w:r>
            <w:r>
              <w:t>repeals provision</w:t>
            </w:r>
            <w:r>
              <w:t>s</w:t>
            </w:r>
            <w:r>
              <w:t xml:space="preserve"> relating to arbitration of a strategic partnership agreement between a municipality and a</w:t>
            </w:r>
            <w:r>
              <w:t>n applicable</w:t>
            </w:r>
            <w:r>
              <w:t xml:space="preserve"> </w:t>
            </w:r>
            <w:r>
              <w:t xml:space="preserve">conservation and reclamation </w:t>
            </w:r>
            <w:r>
              <w:t>d</w:t>
            </w:r>
            <w:r>
              <w:t>istrict</w:t>
            </w:r>
            <w:r>
              <w:t xml:space="preserve">. </w:t>
            </w:r>
            <w:r>
              <w:t>The bill revises provisions relating to the annexation of a municipally owned reservoir,</w:t>
            </w:r>
            <w:r>
              <w:t xml:space="preserve"> the annexation of a municipally owned airport, the annexation of a noncontiguous municipally owned airport by certain municipalities</w:t>
            </w:r>
            <w:r>
              <w:t xml:space="preserve">, the annexation of roads </w:t>
            </w:r>
            <w:r>
              <w:t>and rights-of-way, and the authority of certain municipalities to annex for limited purposes.</w:t>
            </w:r>
            <w:r>
              <w:t xml:space="preserve"> </w:t>
            </w:r>
            <w:r>
              <w:t xml:space="preserve">The bill </w:t>
            </w:r>
            <w:r>
              <w:t>repeals provisions relating to the annexation of streets, highways, and other ways by certain general-law tier 1 municipalities</w:t>
            </w:r>
            <w:r>
              <w:t xml:space="preserve"> and</w:t>
            </w:r>
            <w:r>
              <w:t xml:space="preserve"> provisions relating to the annexation of streets by certain small general-law tier 1 municipalities</w:t>
            </w:r>
            <w:r>
              <w:t xml:space="preserve">. The bill repeals provisions relating to annexation and incorporation procedures for certain unincorporated communities </w:t>
            </w:r>
            <w:r w:rsidRPr="0083315A">
              <w:t>in certain counties</w:t>
            </w:r>
            <w:r>
              <w:t xml:space="preserve">. </w:t>
            </w:r>
            <w:r>
              <w:t xml:space="preserve"> </w:t>
            </w:r>
          </w:p>
          <w:p w:rsidR="0014348C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4348C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347 </w:t>
            </w:r>
            <w:r w:rsidRPr="0014348C">
              <w:t>ap</w:t>
            </w:r>
            <w:r w:rsidRPr="0014348C">
              <w:t>pl</w:t>
            </w:r>
            <w:r>
              <w:t>ies</w:t>
            </w:r>
            <w:r w:rsidRPr="0014348C">
              <w:t xml:space="preserve"> only to an annexation of an area that is not final on the</w:t>
            </w:r>
            <w:r>
              <w:t xml:space="preserve"> bill's</w:t>
            </w:r>
            <w:r w:rsidRPr="0014348C">
              <w:t xml:space="preserve"> effective date. </w:t>
            </w:r>
            <w:r>
              <w:t>The bill establishes that a</w:t>
            </w:r>
            <w:r w:rsidRPr="0014348C">
              <w:t xml:space="preserve">n annexation of an area that was final before </w:t>
            </w:r>
            <w:r>
              <w:t>such</w:t>
            </w:r>
            <w:r w:rsidRPr="0014348C">
              <w:t xml:space="preserve"> date is governed by those portions of </w:t>
            </w:r>
            <w:r>
              <w:t>municipal annexation provisions</w:t>
            </w:r>
            <w:r w:rsidRPr="0014348C">
              <w:t xml:space="preserve"> that relate to post-a</w:t>
            </w:r>
            <w:r w:rsidRPr="0014348C">
              <w:t xml:space="preserve">nnexation procedures and requirements in effect immediately before </w:t>
            </w:r>
            <w:r>
              <w:t>such</w:t>
            </w:r>
            <w:r w:rsidRPr="0014348C">
              <w:t xml:space="preserve"> date and </w:t>
            </w:r>
            <w:r>
              <w:t xml:space="preserve">continues </w:t>
            </w:r>
            <w:r w:rsidRPr="0014348C">
              <w:t>that law in effect for that purpose.</w:t>
            </w:r>
          </w:p>
          <w:p w:rsidR="00862864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2864" w:rsidRDefault="002622B4" w:rsidP="00067993">
            <w:pPr>
              <w:pStyle w:val="Header"/>
              <w:jc w:val="both"/>
            </w:pPr>
            <w:r>
              <w:t>H.B. 347 repeals the following provisions of the Local Government Code: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43.001(2), (3), (4), and (5)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43.011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</w:t>
            </w:r>
            <w:r>
              <w:t>bchapter B</w:t>
            </w:r>
            <w:r>
              <w:t>, Chapter 43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43.0505(b)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43.052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43.053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43.056(q)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43.0561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43.0562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43.0563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43.0564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43.061(b)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43.066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43.067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43.068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43.069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43.0751(o)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43.0752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43.103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43.105</w:t>
            </w:r>
          </w:p>
          <w:p w:rsidR="00862864" w:rsidRDefault="002622B4" w:rsidP="0006799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Subchapter Y</w:t>
            </w:r>
            <w:r>
              <w:t>, Chapter 43</w:t>
            </w:r>
          </w:p>
          <w:p w:rsidR="00862864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E47A3" w:rsidRDefault="002622B4" w:rsidP="00067993">
            <w:pPr>
              <w:pStyle w:val="Header"/>
              <w:jc w:val="both"/>
            </w:pPr>
          </w:p>
          <w:p w:rsidR="00237BA4" w:rsidRDefault="002622B4" w:rsidP="00067993">
            <w:pPr>
              <w:pStyle w:val="Header"/>
              <w:jc w:val="both"/>
            </w:pPr>
            <w:r>
              <w:t>H.B. 347 repeals the following provisions of the Special District Local Laws Code: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8374.252(a)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8375.252(a)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8376.252(a)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8377.252(a)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8378.252(a)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8382.252(a)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8383.252(a)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8384.252(a)</w:t>
            </w:r>
          </w:p>
          <w:p w:rsidR="00237BA4" w:rsidRDefault="002622B4" w:rsidP="0006799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8385.252(a)</w:t>
            </w:r>
          </w:p>
          <w:p w:rsidR="00862864" w:rsidRPr="00B558B4" w:rsidRDefault="002622B4" w:rsidP="000679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8477.302(a)</w:t>
            </w:r>
          </w:p>
          <w:p w:rsidR="008423E4" w:rsidRPr="00835628" w:rsidRDefault="002622B4" w:rsidP="00067993">
            <w:pPr>
              <w:rPr>
                <w:b/>
              </w:rPr>
            </w:pPr>
          </w:p>
        </w:tc>
      </w:tr>
      <w:tr w:rsidR="00B02E81" w:rsidTr="00345119">
        <w:tc>
          <w:tcPr>
            <w:tcW w:w="9576" w:type="dxa"/>
          </w:tcPr>
          <w:p w:rsidR="008423E4" w:rsidRPr="00A8133F" w:rsidRDefault="002622B4" w:rsidP="000679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22B4" w:rsidP="00067993"/>
          <w:p w:rsidR="008423E4" w:rsidRPr="003624F2" w:rsidRDefault="002622B4" w:rsidP="00067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622B4" w:rsidP="00067993">
            <w:pPr>
              <w:rPr>
                <w:b/>
              </w:rPr>
            </w:pPr>
          </w:p>
        </w:tc>
      </w:tr>
    </w:tbl>
    <w:p w:rsidR="008423E4" w:rsidRPr="00BE0E75" w:rsidRDefault="002622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22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22B4">
      <w:r>
        <w:separator/>
      </w:r>
    </w:p>
  </w:endnote>
  <w:endnote w:type="continuationSeparator" w:id="0">
    <w:p w:rsidR="00000000" w:rsidRDefault="0026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2E81" w:rsidTr="009C1E9A">
      <w:trPr>
        <w:cantSplit/>
      </w:trPr>
      <w:tc>
        <w:tcPr>
          <w:tcW w:w="0" w:type="pct"/>
        </w:tcPr>
        <w:p w:rsidR="00137D90" w:rsidRDefault="00262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22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22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2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2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E81" w:rsidTr="009C1E9A">
      <w:trPr>
        <w:cantSplit/>
      </w:trPr>
      <w:tc>
        <w:tcPr>
          <w:tcW w:w="0" w:type="pct"/>
        </w:tcPr>
        <w:p w:rsidR="00EC379B" w:rsidRDefault="00262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22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19949</w:t>
          </w:r>
        </w:p>
      </w:tc>
      <w:tc>
        <w:tcPr>
          <w:tcW w:w="2453" w:type="pct"/>
        </w:tcPr>
        <w:p w:rsidR="00EC379B" w:rsidRDefault="00262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19.78.522</w:t>
          </w:r>
          <w:r>
            <w:fldChar w:fldCharType="end"/>
          </w:r>
        </w:p>
      </w:tc>
    </w:tr>
    <w:tr w:rsidR="00B02E81" w:rsidTr="009C1E9A">
      <w:trPr>
        <w:cantSplit/>
      </w:trPr>
      <w:tc>
        <w:tcPr>
          <w:tcW w:w="0" w:type="pct"/>
        </w:tcPr>
        <w:p w:rsidR="00EC379B" w:rsidRDefault="002622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22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22B4" w:rsidP="006D504F">
          <w:pPr>
            <w:pStyle w:val="Footer"/>
            <w:rPr>
              <w:rStyle w:val="PageNumber"/>
            </w:rPr>
          </w:pPr>
        </w:p>
        <w:p w:rsidR="00EC379B" w:rsidRDefault="00262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E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22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2622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22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22B4">
      <w:r>
        <w:separator/>
      </w:r>
    </w:p>
  </w:footnote>
  <w:footnote w:type="continuationSeparator" w:id="0">
    <w:p w:rsidR="00000000" w:rsidRDefault="0026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0A2D"/>
    <w:multiLevelType w:val="hybridMultilevel"/>
    <w:tmpl w:val="33B29CB6"/>
    <w:lvl w:ilvl="0" w:tplc="7668F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00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01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7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60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2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01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E9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1BD7"/>
    <w:multiLevelType w:val="hybridMultilevel"/>
    <w:tmpl w:val="61662280"/>
    <w:lvl w:ilvl="0" w:tplc="D3FCE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6A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E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3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C1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A4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E7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CC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6C5E"/>
    <w:multiLevelType w:val="hybridMultilevel"/>
    <w:tmpl w:val="382664B2"/>
    <w:lvl w:ilvl="0" w:tplc="A978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2E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0E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A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F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65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B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B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E6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81"/>
    <w:rsid w:val="002622B4"/>
    <w:rsid w:val="00B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6BB827-A91F-4809-8E61-ECF9F7C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8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8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4878</Characters>
  <Application>Microsoft Office Word</Application>
  <DocSecurity>4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HB00347 (Committee Report (Unamended))</vt:lpstr>
    </vt:vector>
  </TitlesOfParts>
  <Company>State of Texas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19949</dc:subject>
  <dc:creator>State of Texas</dc:creator>
  <dc:description>HB 347 by King, Phil-(H)Land &amp; Resource Management</dc:description>
  <cp:lastModifiedBy>Erin Conway</cp:lastModifiedBy>
  <cp:revision>2</cp:revision>
  <cp:lastPrinted>2019-01-17T17:30:00Z</cp:lastPrinted>
  <dcterms:created xsi:type="dcterms:W3CDTF">2019-03-26T17:45:00Z</dcterms:created>
  <dcterms:modified xsi:type="dcterms:W3CDTF">2019-03-26T17:45:00Z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19.78.522</vt:lpwstr>
  </property>
</Properties>
</file>