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52989" w:rsidTr="00345119">
        <w:tc>
          <w:tcPr>
            <w:tcW w:w="9576" w:type="dxa"/>
            <w:noWrap/>
          </w:tcPr>
          <w:p w:rsidR="008423E4" w:rsidRPr="0022177D" w:rsidRDefault="000D7D34" w:rsidP="00345119">
            <w:pPr>
              <w:pStyle w:val="Heading1"/>
            </w:pPr>
            <w:bookmarkStart w:id="0" w:name="_GoBack"/>
            <w:bookmarkEnd w:id="0"/>
            <w:r w:rsidRPr="00631897">
              <w:t>BILL ANALYSIS</w:t>
            </w:r>
          </w:p>
        </w:tc>
      </w:tr>
    </w:tbl>
    <w:p w:rsidR="008423E4" w:rsidRPr="0022177D" w:rsidRDefault="000D7D34" w:rsidP="008423E4">
      <w:pPr>
        <w:jc w:val="center"/>
      </w:pPr>
    </w:p>
    <w:p w:rsidR="008423E4" w:rsidRPr="00B31F0E" w:rsidRDefault="000D7D34" w:rsidP="008423E4"/>
    <w:p w:rsidR="008423E4" w:rsidRPr="00742794" w:rsidRDefault="000D7D34" w:rsidP="008423E4">
      <w:pPr>
        <w:tabs>
          <w:tab w:val="right" w:pos="9360"/>
        </w:tabs>
      </w:pPr>
    </w:p>
    <w:tbl>
      <w:tblPr>
        <w:tblW w:w="0" w:type="auto"/>
        <w:tblLayout w:type="fixed"/>
        <w:tblLook w:val="01E0" w:firstRow="1" w:lastRow="1" w:firstColumn="1" w:lastColumn="1" w:noHBand="0" w:noVBand="0"/>
      </w:tblPr>
      <w:tblGrid>
        <w:gridCol w:w="9576"/>
      </w:tblGrid>
      <w:tr w:rsidR="00252989" w:rsidTr="00345119">
        <w:tc>
          <w:tcPr>
            <w:tcW w:w="9576" w:type="dxa"/>
          </w:tcPr>
          <w:p w:rsidR="008423E4" w:rsidRPr="00861995" w:rsidRDefault="000D7D34" w:rsidP="00FF04DA">
            <w:pPr>
              <w:jc w:val="right"/>
            </w:pPr>
            <w:r>
              <w:t>C.S.H.B. 363</w:t>
            </w:r>
          </w:p>
        </w:tc>
      </w:tr>
      <w:tr w:rsidR="00252989" w:rsidTr="00345119">
        <w:tc>
          <w:tcPr>
            <w:tcW w:w="9576" w:type="dxa"/>
          </w:tcPr>
          <w:p w:rsidR="008423E4" w:rsidRPr="00861995" w:rsidRDefault="000D7D34" w:rsidP="00FD369A">
            <w:pPr>
              <w:jc w:val="right"/>
            </w:pPr>
            <w:r>
              <w:t xml:space="preserve">By: </w:t>
            </w:r>
            <w:r>
              <w:t>Johnson, Jarvis</w:t>
            </w:r>
          </w:p>
        </w:tc>
      </w:tr>
      <w:tr w:rsidR="00252989" w:rsidTr="00345119">
        <w:tc>
          <w:tcPr>
            <w:tcW w:w="9576" w:type="dxa"/>
          </w:tcPr>
          <w:p w:rsidR="008423E4" w:rsidRPr="00861995" w:rsidRDefault="000D7D34" w:rsidP="00345119">
            <w:pPr>
              <w:jc w:val="right"/>
            </w:pPr>
            <w:r>
              <w:t>Corrections</w:t>
            </w:r>
          </w:p>
        </w:tc>
      </w:tr>
      <w:tr w:rsidR="00252989" w:rsidTr="00345119">
        <w:tc>
          <w:tcPr>
            <w:tcW w:w="9576" w:type="dxa"/>
          </w:tcPr>
          <w:p w:rsidR="008423E4" w:rsidRDefault="000D7D34" w:rsidP="00345119">
            <w:pPr>
              <w:jc w:val="right"/>
            </w:pPr>
            <w:r>
              <w:t>Committee Report (Substituted)</w:t>
            </w:r>
          </w:p>
        </w:tc>
      </w:tr>
    </w:tbl>
    <w:p w:rsidR="008423E4" w:rsidRDefault="000D7D34" w:rsidP="008423E4">
      <w:pPr>
        <w:tabs>
          <w:tab w:val="right" w:pos="9360"/>
        </w:tabs>
      </w:pPr>
    </w:p>
    <w:p w:rsidR="008423E4" w:rsidRDefault="000D7D34" w:rsidP="008423E4"/>
    <w:p w:rsidR="008423E4" w:rsidRDefault="000D7D34" w:rsidP="008423E4"/>
    <w:tbl>
      <w:tblPr>
        <w:tblW w:w="0" w:type="auto"/>
        <w:tblCellMar>
          <w:left w:w="115" w:type="dxa"/>
          <w:right w:w="115" w:type="dxa"/>
        </w:tblCellMar>
        <w:tblLook w:val="01E0" w:firstRow="1" w:lastRow="1" w:firstColumn="1" w:lastColumn="1" w:noHBand="0" w:noVBand="0"/>
      </w:tblPr>
      <w:tblGrid>
        <w:gridCol w:w="9576"/>
      </w:tblGrid>
      <w:tr w:rsidR="00252989" w:rsidTr="00345119">
        <w:tc>
          <w:tcPr>
            <w:tcW w:w="9576" w:type="dxa"/>
          </w:tcPr>
          <w:p w:rsidR="008423E4" w:rsidRPr="00A8133F" w:rsidRDefault="000D7D34" w:rsidP="004A1B4F">
            <w:pPr>
              <w:rPr>
                <w:b/>
              </w:rPr>
            </w:pPr>
            <w:r w:rsidRPr="009C1E9A">
              <w:rPr>
                <w:b/>
                <w:u w:val="single"/>
              </w:rPr>
              <w:t>BACKGROUND AND PURPOSE</w:t>
            </w:r>
            <w:r>
              <w:rPr>
                <w:b/>
              </w:rPr>
              <w:t xml:space="preserve"> </w:t>
            </w:r>
          </w:p>
          <w:p w:rsidR="008423E4" w:rsidRDefault="000D7D34" w:rsidP="004A1B4F"/>
          <w:p w:rsidR="008423E4" w:rsidRDefault="000D7D34" w:rsidP="004A1B4F">
            <w:pPr>
              <w:pStyle w:val="Header"/>
              <w:jc w:val="both"/>
            </w:pPr>
            <w:r>
              <w:t xml:space="preserve">There are concerns that, without </w:t>
            </w:r>
            <w:r>
              <w:t xml:space="preserve">an entity solely </w:t>
            </w:r>
            <w:r>
              <w:t>tasked with the</w:t>
            </w:r>
            <w:r>
              <w:t xml:space="preserve"> </w:t>
            </w:r>
            <w:r>
              <w:t xml:space="preserve">independent oversight of </w:t>
            </w:r>
            <w:r>
              <w:t xml:space="preserve">the </w:t>
            </w:r>
            <w:r>
              <w:t xml:space="preserve">conditions of confinement and treatment of offenders </w:t>
            </w:r>
            <w:r>
              <w:t>in facilities operated by or under contract with the</w:t>
            </w:r>
            <w:r>
              <w:t xml:space="preserve"> Texas Department of Criminal Justice (TDCJ)</w:t>
            </w:r>
            <w:r w:rsidRPr="00B909A4">
              <w:t xml:space="preserve">, </w:t>
            </w:r>
            <w:r>
              <w:t xml:space="preserve">violations of the rights of </w:t>
            </w:r>
            <w:r>
              <w:t xml:space="preserve">those </w:t>
            </w:r>
            <w:r>
              <w:t>incarcerated individuals</w:t>
            </w:r>
            <w:r w:rsidRPr="005F1A34">
              <w:t xml:space="preserve"> </w:t>
            </w:r>
            <w:r>
              <w:t>c</w:t>
            </w:r>
            <w:r w:rsidRPr="005F1A34">
              <w:t xml:space="preserve">ould continue unabated and </w:t>
            </w:r>
            <w:r w:rsidRPr="00B909A4">
              <w:t>le</w:t>
            </w:r>
            <w:r>
              <w:t xml:space="preserve">ad to </w:t>
            </w:r>
            <w:r>
              <w:t>human suff</w:t>
            </w:r>
            <w:r>
              <w:t xml:space="preserve">ering, unnecessary costs, and </w:t>
            </w:r>
            <w:r>
              <w:t xml:space="preserve">expensive litigation. </w:t>
            </w:r>
            <w:r>
              <w:t>C.S.</w:t>
            </w:r>
            <w:r>
              <w:t xml:space="preserve">H.B. 363 seeks to address these issues by creating the </w:t>
            </w:r>
            <w:r>
              <w:t>o</w:t>
            </w:r>
            <w:r>
              <w:t xml:space="preserve">ffice of </w:t>
            </w:r>
            <w:r>
              <w:t>i</w:t>
            </w:r>
            <w:r>
              <w:t xml:space="preserve">ndependent </w:t>
            </w:r>
            <w:r>
              <w:t>o</w:t>
            </w:r>
            <w:r>
              <w:t xml:space="preserve">versight </w:t>
            </w:r>
            <w:r>
              <w:t>o</w:t>
            </w:r>
            <w:r>
              <w:t>mbudsman for TDCJ.</w:t>
            </w:r>
          </w:p>
          <w:p w:rsidR="008423E4" w:rsidRPr="00E26B13" w:rsidRDefault="000D7D34" w:rsidP="004A1B4F">
            <w:pPr>
              <w:rPr>
                <w:b/>
              </w:rPr>
            </w:pPr>
          </w:p>
        </w:tc>
      </w:tr>
      <w:tr w:rsidR="00252989" w:rsidTr="00345119">
        <w:tc>
          <w:tcPr>
            <w:tcW w:w="9576" w:type="dxa"/>
          </w:tcPr>
          <w:p w:rsidR="0017725B" w:rsidRDefault="000D7D34" w:rsidP="004A1B4F">
            <w:pPr>
              <w:rPr>
                <w:b/>
                <w:u w:val="single"/>
              </w:rPr>
            </w:pPr>
            <w:r>
              <w:rPr>
                <w:b/>
                <w:u w:val="single"/>
              </w:rPr>
              <w:t>CRIMINAL JUSTICE IMPACT</w:t>
            </w:r>
          </w:p>
          <w:p w:rsidR="0017725B" w:rsidRDefault="000D7D34" w:rsidP="004A1B4F">
            <w:pPr>
              <w:rPr>
                <w:b/>
                <w:u w:val="single"/>
              </w:rPr>
            </w:pPr>
          </w:p>
          <w:p w:rsidR="0073758D" w:rsidRPr="0073758D" w:rsidRDefault="000D7D34" w:rsidP="004A1B4F">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0D7D34" w:rsidP="004A1B4F">
            <w:pPr>
              <w:rPr>
                <w:b/>
                <w:u w:val="single"/>
              </w:rPr>
            </w:pPr>
          </w:p>
        </w:tc>
      </w:tr>
      <w:tr w:rsidR="00252989" w:rsidTr="00345119">
        <w:tc>
          <w:tcPr>
            <w:tcW w:w="9576" w:type="dxa"/>
          </w:tcPr>
          <w:p w:rsidR="008423E4" w:rsidRPr="00A8133F" w:rsidRDefault="000D7D34" w:rsidP="004A1B4F">
            <w:pPr>
              <w:rPr>
                <w:b/>
              </w:rPr>
            </w:pPr>
            <w:r w:rsidRPr="009C1E9A">
              <w:rPr>
                <w:b/>
                <w:u w:val="single"/>
              </w:rPr>
              <w:t>RULEMAKING AUTHORITY</w:t>
            </w:r>
            <w:r>
              <w:rPr>
                <w:b/>
              </w:rPr>
              <w:t xml:space="preserve"> </w:t>
            </w:r>
          </w:p>
          <w:p w:rsidR="008423E4" w:rsidRDefault="000D7D34" w:rsidP="004A1B4F"/>
          <w:p w:rsidR="0073758D" w:rsidRDefault="000D7D34" w:rsidP="004A1B4F">
            <w:pPr>
              <w:pStyle w:val="Header"/>
              <w:tabs>
                <w:tab w:val="clear" w:pos="4320"/>
                <w:tab w:val="clear" w:pos="8640"/>
              </w:tabs>
              <w:jc w:val="both"/>
            </w:pPr>
            <w:r>
              <w:t>It is the committee's o</w:t>
            </w:r>
            <w:r>
              <w:t xml:space="preserve">pinion that rulemaking authority is expressly granted to the </w:t>
            </w:r>
            <w:r w:rsidRPr="0073758D">
              <w:t>office of independent</w:t>
            </w:r>
            <w:r>
              <w:t xml:space="preserve"> oversight</w:t>
            </w:r>
            <w:r w:rsidRPr="0073758D">
              <w:t xml:space="preserve"> ombudsman</w:t>
            </w:r>
            <w:r>
              <w:t xml:space="preserve"> in SECTION 1 of this bill.</w:t>
            </w:r>
          </w:p>
          <w:p w:rsidR="008423E4" w:rsidRPr="00E21FDC" w:rsidRDefault="000D7D34" w:rsidP="004A1B4F">
            <w:pPr>
              <w:rPr>
                <w:b/>
              </w:rPr>
            </w:pPr>
          </w:p>
        </w:tc>
      </w:tr>
      <w:tr w:rsidR="00252989" w:rsidTr="00345119">
        <w:tc>
          <w:tcPr>
            <w:tcW w:w="9576" w:type="dxa"/>
          </w:tcPr>
          <w:p w:rsidR="008423E4" w:rsidRPr="00A8133F" w:rsidRDefault="000D7D34" w:rsidP="004A1B4F">
            <w:pPr>
              <w:rPr>
                <w:b/>
              </w:rPr>
            </w:pPr>
            <w:r w:rsidRPr="009C1E9A">
              <w:rPr>
                <w:b/>
                <w:u w:val="single"/>
              </w:rPr>
              <w:t>ANALYSIS</w:t>
            </w:r>
            <w:r>
              <w:rPr>
                <w:b/>
              </w:rPr>
              <w:t xml:space="preserve"> </w:t>
            </w:r>
          </w:p>
          <w:p w:rsidR="008423E4" w:rsidRDefault="000D7D34" w:rsidP="004A1B4F"/>
          <w:p w:rsidR="007F1641" w:rsidRDefault="000D7D34" w:rsidP="004A1B4F">
            <w:pPr>
              <w:pStyle w:val="Header"/>
              <w:tabs>
                <w:tab w:val="clear" w:pos="4320"/>
                <w:tab w:val="clear" w:pos="8640"/>
              </w:tabs>
              <w:jc w:val="both"/>
            </w:pPr>
            <w:r>
              <w:t>C.S.</w:t>
            </w:r>
            <w:r>
              <w:t>H.B. 363 amends the Government Code to establish</w:t>
            </w:r>
            <w:r w:rsidRPr="00B774EB">
              <w:t xml:space="preserve"> the office of independent oversight ombudsman</w:t>
            </w:r>
            <w:r>
              <w:t xml:space="preserve"> as a state age</w:t>
            </w:r>
            <w:r>
              <w:t>ncy</w:t>
            </w:r>
            <w:r>
              <w:t>, administratively attached to the Commission on Jail Standards</w:t>
            </w:r>
            <w:r>
              <w:t xml:space="preserve"> (TCJS)</w:t>
            </w:r>
            <w:r>
              <w:t>,</w:t>
            </w:r>
            <w:r w:rsidRPr="00B774EB">
              <w:t xml:space="preserve"> for the purpose of monitoring the conditions of confinement and treatment of offenders</w:t>
            </w:r>
            <w:r>
              <w:t>,</w:t>
            </w:r>
            <w:r>
              <w:t xml:space="preserve"> </w:t>
            </w:r>
            <w:r w:rsidRPr="00B774EB">
              <w:t>investigating, evaluating, and securing the rights of</w:t>
            </w:r>
            <w:r>
              <w:t xml:space="preserve"> inmates or state jail defendants confin</w:t>
            </w:r>
            <w:r>
              <w:t>ed in a facility operated by or under contract with the Texas Department of Criminal Jus</w:t>
            </w:r>
            <w:r>
              <w:t>tice (TDCJ)</w:t>
            </w:r>
            <w:r>
              <w:t xml:space="preserve"> that is used primarily for the confinement of such offenders</w:t>
            </w:r>
            <w:r w:rsidRPr="00C00B2A">
              <w:t xml:space="preserve">, and assisting </w:t>
            </w:r>
            <w:r>
              <w:t>TDCJ</w:t>
            </w:r>
            <w:r w:rsidRPr="00C00B2A">
              <w:t xml:space="preserve"> in improving its operations</w:t>
            </w:r>
            <w:r w:rsidRPr="00B774EB">
              <w:t>.</w:t>
            </w:r>
            <w:r>
              <w:t xml:space="preserve"> The bill requires </w:t>
            </w:r>
            <w:r>
              <w:t xml:space="preserve">TCJS </w:t>
            </w:r>
            <w:r>
              <w:t>to provide office space</w:t>
            </w:r>
            <w:r>
              <w:t xml:space="preserve"> and administrative support services to the office as necessary to carry out the bill's purposes. </w:t>
            </w:r>
          </w:p>
          <w:p w:rsidR="007F1641" w:rsidRDefault="000D7D34" w:rsidP="004A1B4F">
            <w:pPr>
              <w:pStyle w:val="Header"/>
              <w:tabs>
                <w:tab w:val="clear" w:pos="4320"/>
                <w:tab w:val="clear" w:pos="8640"/>
              </w:tabs>
              <w:jc w:val="both"/>
            </w:pPr>
          </w:p>
          <w:p w:rsidR="008423E4" w:rsidRDefault="000D7D34" w:rsidP="004A1B4F">
            <w:pPr>
              <w:pStyle w:val="Header"/>
              <w:tabs>
                <w:tab w:val="clear" w:pos="4320"/>
                <w:tab w:val="clear" w:pos="8640"/>
              </w:tabs>
              <w:jc w:val="both"/>
            </w:pPr>
            <w:r>
              <w:t>C.S.</w:t>
            </w:r>
            <w:r>
              <w:t>H.B. 363</w:t>
            </w:r>
            <w:r>
              <w:t xml:space="preserve"> </w:t>
            </w:r>
            <w:r w:rsidRPr="00B774EB">
              <w:t>makes the office responsible for</w:t>
            </w:r>
            <w:r>
              <w:t xml:space="preserve"> conducting</w:t>
            </w:r>
            <w:r w:rsidRPr="00B774EB">
              <w:t xml:space="preserve"> in-depth review</w:t>
            </w:r>
            <w:r>
              <w:t>s</w:t>
            </w:r>
            <w:r w:rsidRPr="00B774EB">
              <w:t xml:space="preserve"> and analys</w:t>
            </w:r>
            <w:r>
              <w:t>e</w:t>
            </w:r>
            <w:r w:rsidRPr="00B774EB">
              <w:t>s of data, determin</w:t>
            </w:r>
            <w:r>
              <w:t>ing</w:t>
            </w:r>
            <w:r w:rsidRPr="00B774EB">
              <w:t xml:space="preserve"> long-term needs, identif</w:t>
            </w:r>
            <w:r>
              <w:t>ying</w:t>
            </w:r>
            <w:r w:rsidRPr="00B774EB">
              <w:t xml:space="preserve"> critical issues </w:t>
            </w:r>
            <w:r>
              <w:t xml:space="preserve">facing TDCJ </w:t>
            </w:r>
            <w:r w:rsidRPr="00B774EB">
              <w:t>and corresponding solutions</w:t>
            </w:r>
            <w:r>
              <w:t xml:space="preserve"> </w:t>
            </w:r>
            <w:r w:rsidRPr="00C00B2A">
              <w:t>to those issues, investigating significant group disturbances and critical incidents</w:t>
            </w:r>
            <w:r w:rsidRPr="00B774EB">
              <w:t>, and asses</w:t>
            </w:r>
            <w:r>
              <w:t>sing</w:t>
            </w:r>
            <w:r w:rsidRPr="00B774EB">
              <w:t xml:space="preserve"> the efficacy of existing programs.</w:t>
            </w:r>
            <w:r>
              <w:t xml:space="preserve"> </w:t>
            </w:r>
            <w:r>
              <w:t xml:space="preserve">The bill requires the office, in accordance with </w:t>
            </w:r>
            <w:r>
              <w:t xml:space="preserve">Legislative Budget Board </w:t>
            </w:r>
            <w:r>
              <w:t xml:space="preserve">rules, </w:t>
            </w:r>
            <w:r>
              <w:t xml:space="preserve">to prepare, approve, and submit a legislative appropriations request that is used to develop the office's budget structure. The bill requires the office to maintain </w:t>
            </w:r>
            <w:r>
              <w:t xml:space="preserve">the legislative appropriations request and budget structure separately from those of </w:t>
            </w:r>
            <w:r>
              <w:t xml:space="preserve">TCJS </w:t>
            </w:r>
            <w:r>
              <w:t>a</w:t>
            </w:r>
            <w:r>
              <w:t>nd TDCJ.</w:t>
            </w:r>
            <w:r>
              <w:t xml:space="preserve"> </w:t>
            </w:r>
          </w:p>
          <w:p w:rsidR="00F53B22" w:rsidRDefault="000D7D34" w:rsidP="004A1B4F">
            <w:pPr>
              <w:pStyle w:val="Header"/>
              <w:tabs>
                <w:tab w:val="clear" w:pos="4320"/>
                <w:tab w:val="clear" w:pos="8640"/>
              </w:tabs>
              <w:jc w:val="both"/>
            </w:pPr>
          </w:p>
          <w:p w:rsidR="00117088" w:rsidRDefault="000D7D34" w:rsidP="004A1B4F">
            <w:pPr>
              <w:pStyle w:val="Header"/>
              <w:jc w:val="both"/>
            </w:pPr>
            <w:r>
              <w:t>C.S.</w:t>
            </w:r>
            <w:r>
              <w:t>H.B. 363 requires the governor to appoint</w:t>
            </w:r>
            <w:r>
              <w:t xml:space="preserve"> a person to serve </w:t>
            </w:r>
            <w:r>
              <w:t xml:space="preserve">a four-year term </w:t>
            </w:r>
            <w:r>
              <w:t>as</w:t>
            </w:r>
            <w:r>
              <w:t xml:space="preserve"> ombudsman </w:t>
            </w:r>
            <w:r w:rsidRPr="00C00B2A">
              <w:t xml:space="preserve">from a list of persons recommended by the chair of each standing committee of the legislature having primary jurisdiction over </w:t>
            </w:r>
            <w:r>
              <w:t>TDCJ</w:t>
            </w:r>
            <w:r w:rsidRPr="00C00B2A">
              <w:t xml:space="preserve"> </w:t>
            </w:r>
            <w:r>
              <w:t>with the advice and</w:t>
            </w:r>
            <w:r>
              <w:t xml:space="preserve"> consent of the senate</w:t>
            </w:r>
            <w:r>
              <w:t>, prohibits a person from serving as ombudsman for more than two terms</w:t>
            </w:r>
            <w:r>
              <w:t xml:space="preserve">, and establishes that the governor may remove the ombudsman only for good cause. </w:t>
            </w:r>
            <w:r>
              <w:t xml:space="preserve">The bill </w:t>
            </w:r>
            <w:r w:rsidRPr="00117088">
              <w:t xml:space="preserve">requires the governor to appoint an initial ombudsman to a term expiring </w:t>
            </w:r>
            <w:r w:rsidRPr="00117088">
              <w:t>February 1, 2023.</w:t>
            </w:r>
            <w:r>
              <w:t xml:space="preserve"> </w:t>
            </w:r>
            <w:r>
              <w:t xml:space="preserve"> </w:t>
            </w:r>
            <w:r>
              <w:t xml:space="preserve">The bill </w:t>
            </w:r>
            <w:r w:rsidRPr="00110446">
              <w:t xml:space="preserve">authorizes the ombudsman to appoint assistants to perform, under the </w:t>
            </w:r>
            <w:r>
              <w:t xml:space="preserve">ombudsman's </w:t>
            </w:r>
            <w:r w:rsidRPr="00110446">
              <w:t>direction, the same duties and exercise the same powers as the ombudsman.</w:t>
            </w:r>
            <w:r>
              <w:t xml:space="preserve"> </w:t>
            </w:r>
            <w:r>
              <w:t xml:space="preserve">The bill </w:t>
            </w:r>
            <w:r w:rsidRPr="00117088">
              <w:t>sets out conflicts of interest that prohibit a person from servi</w:t>
            </w:r>
            <w:r w:rsidRPr="00117088">
              <w:t>ng as ombudsman</w:t>
            </w:r>
            <w:r>
              <w:t xml:space="preserve"> or as an assistant ombudsman</w:t>
            </w:r>
            <w:r>
              <w:t xml:space="preserve">. </w:t>
            </w:r>
            <w:r>
              <w:t xml:space="preserve">The bill </w:t>
            </w:r>
            <w:r w:rsidRPr="00110446">
              <w:t xml:space="preserve">establishes that the ombudsman acts independently of TDCJ and the Texas Board of Criminal Justice in the performance of </w:t>
            </w:r>
            <w:r>
              <w:t xml:space="preserve">those </w:t>
            </w:r>
            <w:r w:rsidRPr="00110446">
              <w:t>powers and duties.</w:t>
            </w:r>
          </w:p>
          <w:p w:rsidR="00A07773" w:rsidRDefault="000D7D34" w:rsidP="004A1B4F">
            <w:pPr>
              <w:pStyle w:val="Header"/>
              <w:jc w:val="both"/>
            </w:pPr>
          </w:p>
          <w:p w:rsidR="007F1641" w:rsidRDefault="000D7D34" w:rsidP="004A1B4F">
            <w:pPr>
              <w:pStyle w:val="Header"/>
              <w:jc w:val="both"/>
            </w:pPr>
            <w:r>
              <w:t>C.S.</w:t>
            </w:r>
            <w:r>
              <w:t xml:space="preserve">H.B. 363 </w:t>
            </w:r>
            <w:r>
              <w:t>sets out</w:t>
            </w:r>
            <w:r w:rsidRPr="001945A0">
              <w:t xml:space="preserve"> the</w:t>
            </w:r>
            <w:r w:rsidRPr="00110446">
              <w:t xml:space="preserve"> pow</w:t>
            </w:r>
            <w:r>
              <w:t>ers</w:t>
            </w:r>
            <w:r>
              <w:t xml:space="preserve"> and duties of the ombudsman and </w:t>
            </w:r>
            <w:r>
              <w:t>authorizes the ombudsman to inform persons who are interested in an offender's welfare of the rights of the offender. The bill authorizes the ombudsman, for purpose</w:t>
            </w:r>
            <w:r>
              <w:t>s</w:t>
            </w:r>
            <w:r>
              <w:t xml:space="preserve"> of determining if an offender's rights have been violated</w:t>
            </w:r>
            <w:r>
              <w:t xml:space="preserve">, </w:t>
            </w:r>
            <w:r>
              <w:t xml:space="preserve">to contact or consult with an administrator, an employee, a family member, an expert, another offender, or any other individual in the course of the ombudsman's investigation or to secure information in any matter that does not </w:t>
            </w:r>
            <w:r>
              <w:t>involve</w:t>
            </w:r>
            <w:r>
              <w:t xml:space="preserve"> alleged criminal b</w:t>
            </w:r>
            <w:r>
              <w:t>ehavior. The bill prohibits the ombudsman from investigating alleged criminal behavior but authorizes the ombudsman to review</w:t>
            </w:r>
            <w:r>
              <w:t>, in accordance with the bill's provisions,</w:t>
            </w:r>
            <w:r>
              <w:t xml:space="preserve"> a criminal investigation conducted by the office of the inspector general of TDCJ to en</w:t>
            </w:r>
            <w:r>
              <w:t xml:space="preserve">sure that the investigation was conducted in an accurate, unbiased, and thorough manner. </w:t>
            </w:r>
            <w:r>
              <w:t xml:space="preserve">The bill establishes that </w:t>
            </w:r>
            <w:r>
              <w:t xml:space="preserve">an inmate's </w:t>
            </w:r>
            <w:r>
              <w:t>complaint</w:t>
            </w:r>
            <w:r>
              <w:t xml:space="preserve"> to the office</w:t>
            </w:r>
            <w:r>
              <w:t xml:space="preserve"> and any investigation </w:t>
            </w:r>
            <w:r>
              <w:t xml:space="preserve">conducted by the office under the bill's provisions </w:t>
            </w:r>
            <w:r>
              <w:t xml:space="preserve">are </w:t>
            </w:r>
            <w:r w:rsidRPr="005F2416">
              <w:t>independent of the inmate g</w:t>
            </w:r>
            <w:r w:rsidRPr="005F2416">
              <w:t xml:space="preserve">rievance system </w:t>
            </w:r>
            <w:r>
              <w:t xml:space="preserve">and do not </w:t>
            </w:r>
            <w:r w:rsidRPr="005F2416">
              <w:t>affect the procedures, rights, or duties established under that system or constitute a grievance under that system</w:t>
            </w:r>
            <w:r>
              <w:t xml:space="preserve">. </w:t>
            </w:r>
          </w:p>
          <w:p w:rsidR="007F1641" w:rsidRDefault="000D7D34" w:rsidP="004A1B4F">
            <w:pPr>
              <w:pStyle w:val="Header"/>
              <w:jc w:val="both"/>
            </w:pPr>
          </w:p>
          <w:p w:rsidR="00117088" w:rsidRDefault="000D7D34" w:rsidP="004A1B4F">
            <w:pPr>
              <w:pStyle w:val="Header"/>
              <w:jc w:val="both"/>
            </w:pPr>
            <w:r>
              <w:t>C.S.</w:t>
            </w:r>
            <w:r>
              <w:t>H.B. 363</w:t>
            </w:r>
            <w:r>
              <w:t xml:space="preserve"> </w:t>
            </w:r>
            <w:r w:rsidRPr="0047077A">
              <w:t xml:space="preserve">prohibits </w:t>
            </w:r>
            <w:r>
              <w:t xml:space="preserve">TDCJ </w:t>
            </w:r>
            <w:r w:rsidRPr="0047077A">
              <w:t>from discharging, disciplining, or in any manner discriminating or retaliating against an employee who makes a good faith complaint to the office or cooperates with an investigation</w:t>
            </w:r>
            <w:r>
              <w:t xml:space="preserve"> under the bill's provisions</w:t>
            </w:r>
            <w:r w:rsidRPr="0047077A">
              <w:t xml:space="preserve"> and from disciplining or in any manner discrim</w:t>
            </w:r>
            <w:r w:rsidRPr="0047077A">
              <w:t>inating or retaliating against an offender who complains to or communicates or cooperates with the office in the course of the office carrying out its duties.</w:t>
            </w:r>
            <w:r>
              <w:t xml:space="preserve"> The bill </w:t>
            </w:r>
            <w:r w:rsidRPr="0047077A">
              <w:t>authorizes the ombudsman to attend training sessions for correctional officers or partic</w:t>
            </w:r>
            <w:r w:rsidRPr="0047077A">
              <w:t>ipate in other appropriate professional training.</w:t>
            </w:r>
          </w:p>
          <w:p w:rsidR="001B3EFE" w:rsidRDefault="000D7D34" w:rsidP="004A1B4F">
            <w:pPr>
              <w:pStyle w:val="Header"/>
              <w:jc w:val="both"/>
            </w:pPr>
          </w:p>
          <w:p w:rsidR="007F1641" w:rsidRDefault="000D7D34" w:rsidP="004A1B4F">
            <w:pPr>
              <w:pStyle w:val="Header"/>
              <w:jc w:val="both"/>
            </w:pPr>
            <w:r>
              <w:t>C.S.</w:t>
            </w:r>
            <w:r>
              <w:t xml:space="preserve">H.B. 363 requires TDCJ to allow the ombudsman to access TDCJ records relating to an offender or </w:t>
            </w:r>
            <w:r>
              <w:t>investigation and</w:t>
            </w:r>
            <w:r>
              <w:t xml:space="preserve"> requires TDCJ to fully cooperate and collaborate with the office in a prompt manner in </w:t>
            </w:r>
            <w:r>
              <w:t xml:space="preserve">order for the office to carry out its duties and improve facility operations and conditions. The bill authorizes the ombudsman to subpoena </w:t>
            </w:r>
            <w:r>
              <w:t>the records of a private entity that relate to a complain</w:t>
            </w:r>
            <w:r>
              <w:t>t</w:t>
            </w:r>
            <w:r>
              <w:t xml:space="preserve"> the ombudsman is investigating. </w:t>
            </w:r>
          </w:p>
          <w:p w:rsidR="007F1641" w:rsidRDefault="000D7D34" w:rsidP="004A1B4F">
            <w:pPr>
              <w:pStyle w:val="Header"/>
              <w:jc w:val="both"/>
            </w:pPr>
          </w:p>
          <w:p w:rsidR="001B3EFE" w:rsidRDefault="000D7D34" w:rsidP="004A1B4F">
            <w:pPr>
              <w:pStyle w:val="Header"/>
              <w:jc w:val="both"/>
            </w:pPr>
            <w:r>
              <w:t>C.S.</w:t>
            </w:r>
            <w:r>
              <w:t>H.B. 363</w:t>
            </w:r>
            <w:r>
              <w:t xml:space="preserve"> authorizes </w:t>
            </w:r>
            <w:r>
              <w:t xml:space="preserve">the office to inspect or review without notice any part of a facility or </w:t>
            </w:r>
            <w:r>
              <w:t xml:space="preserve">any </w:t>
            </w:r>
            <w:r>
              <w:t>facility operation, policy, procedure</w:t>
            </w:r>
            <w:r>
              <w:t xml:space="preserve">, </w:t>
            </w:r>
            <w:r w:rsidRPr="00351AFB">
              <w:t>record, or log</w:t>
            </w:r>
            <w:r>
              <w:t xml:space="preserve"> relating </w:t>
            </w:r>
            <w:r>
              <w:t>to certain specified facility activities</w:t>
            </w:r>
            <w:r>
              <w:t xml:space="preserve">. </w:t>
            </w:r>
            <w:r>
              <w:t xml:space="preserve">The bill requires the ombudsman to </w:t>
            </w:r>
            <w:r w:rsidRPr="00351AFB">
              <w:t>coordinate with the office of the inspe</w:t>
            </w:r>
            <w:r w:rsidRPr="00351AFB">
              <w:t xml:space="preserve">ctor general of </w:t>
            </w:r>
            <w:r>
              <w:t>TDCJ</w:t>
            </w:r>
            <w:r w:rsidRPr="00351AFB">
              <w:t xml:space="preserve"> to develop policies and procedures that ensure an inspection or review does not interfere with a criminal investigation being conducted by the office of the inspector general.</w:t>
            </w:r>
            <w:r>
              <w:t xml:space="preserve"> </w:t>
            </w:r>
            <w:r>
              <w:t>The bill authorizes the office, in conducting an investigat</w:t>
            </w:r>
            <w:r>
              <w:t xml:space="preserve">ion, to interview offenders and facility administrators </w:t>
            </w:r>
            <w:r>
              <w:t xml:space="preserve">or </w:t>
            </w:r>
            <w:r>
              <w:t xml:space="preserve">employees, hold public hearings, and issue a subpoena to compel the attendance of a relevant witness or the production of relevant records or documents. </w:t>
            </w:r>
            <w:r>
              <w:t xml:space="preserve"> </w:t>
            </w:r>
          </w:p>
          <w:p w:rsidR="00DD27A8" w:rsidRDefault="000D7D34" w:rsidP="004A1B4F">
            <w:pPr>
              <w:pStyle w:val="Header"/>
              <w:jc w:val="both"/>
            </w:pPr>
          </w:p>
          <w:p w:rsidR="000C3221" w:rsidRDefault="000D7D34" w:rsidP="004A1B4F">
            <w:pPr>
              <w:jc w:val="both"/>
            </w:pPr>
            <w:r>
              <w:t>C.S.</w:t>
            </w:r>
            <w:r>
              <w:t xml:space="preserve">H.B. 363 </w:t>
            </w:r>
            <w:r>
              <w:t xml:space="preserve">requires TDCJ to establish procedures allowing any offender or facility administrator or employee to communicate in </w:t>
            </w:r>
            <w:r>
              <w:t>person, by mail, or by any other means</w:t>
            </w:r>
            <w:r>
              <w:t xml:space="preserve"> with the ombudsman or an assistant ombudsman regarding a power or duty of the ombudsman or office and</w:t>
            </w:r>
            <w:r>
              <w:t xml:space="preserve"> makes such communication confidential and privileged. </w:t>
            </w:r>
            <w:r>
              <w:t xml:space="preserve">The records of the ombudsman are confidential except that the ombudsman </w:t>
            </w:r>
            <w:r>
              <w:t>must</w:t>
            </w:r>
            <w:r>
              <w:t xml:space="preserve"> share with the office of </w:t>
            </w:r>
            <w:r>
              <w:t xml:space="preserve">the </w:t>
            </w:r>
            <w:r>
              <w:t>inspector general of TDCJ a communication with an offender that may involve abuse or neglect an</w:t>
            </w:r>
            <w:r>
              <w:t xml:space="preserve">d </w:t>
            </w:r>
            <w:r>
              <w:t xml:space="preserve">must </w:t>
            </w:r>
            <w:r>
              <w:t xml:space="preserve">disclose the ombudsman's nonprivileged records if required by a court order on a showing of good cause. </w:t>
            </w:r>
          </w:p>
          <w:p w:rsidR="000C3221" w:rsidRDefault="000D7D34" w:rsidP="004A1B4F">
            <w:pPr>
              <w:jc w:val="both"/>
            </w:pPr>
          </w:p>
          <w:p w:rsidR="000C3221" w:rsidRDefault="000D7D34" w:rsidP="004A1B4F">
            <w:pPr>
              <w:jc w:val="both"/>
              <w:rPr>
                <w:color w:val="000000"/>
              </w:rPr>
            </w:pPr>
            <w:r>
              <w:t xml:space="preserve">C.S.H.B. 363 </w:t>
            </w:r>
            <w:r>
              <w:t xml:space="preserve">authorizes the ombudsman to make public any report, with certain </w:t>
            </w:r>
            <w:r>
              <w:t xml:space="preserve">required </w:t>
            </w:r>
            <w:r>
              <w:t>redactions, relating to an investigation after the inves</w:t>
            </w:r>
            <w:r>
              <w:t>tigation is complete</w:t>
            </w:r>
            <w:r>
              <w:t xml:space="preserve">. The bill makes </w:t>
            </w:r>
            <w:r>
              <w:t xml:space="preserve">confidential and not subject to public disclosure under state public information law </w:t>
            </w:r>
            <w:r>
              <w:t>the name, address, or other personally identifiable information of a person who files a complaint with the office, information generat</w:t>
            </w:r>
            <w:r>
              <w:t xml:space="preserve">ed by the office in the course of an investigation, and confidential records obtained by the office </w:t>
            </w:r>
            <w:r>
              <w:t xml:space="preserve">but establishes that </w:t>
            </w:r>
            <w:r>
              <w:t>information and records,</w:t>
            </w:r>
            <w:r>
              <w:t xml:space="preserve"> </w:t>
            </w:r>
            <w:r>
              <w:rPr>
                <w:color w:val="000000"/>
              </w:rPr>
              <w:t>other than confidential information and records concerning a pending law enforcement investigation or criminal</w:t>
            </w:r>
            <w:r>
              <w:rPr>
                <w:color w:val="000000"/>
              </w:rPr>
              <w:t xml:space="preserve"> action, may be disclosed to an appropriate person if the office determines that disclosure is </w:t>
            </w:r>
            <w:r>
              <w:rPr>
                <w:color w:val="000000"/>
              </w:rPr>
              <w:t xml:space="preserve">in </w:t>
            </w:r>
            <w:r>
              <w:rPr>
                <w:color w:val="000000"/>
              </w:rPr>
              <w:t xml:space="preserve">the public interest, </w:t>
            </w:r>
            <w:r>
              <w:rPr>
                <w:color w:val="000000"/>
              </w:rPr>
              <w:t xml:space="preserve">is </w:t>
            </w:r>
            <w:r>
              <w:rPr>
                <w:color w:val="000000"/>
              </w:rPr>
              <w:t xml:space="preserve">necessary to enable the office or ombudsman to perform a duty under the bill's provisions, or </w:t>
            </w:r>
            <w:r>
              <w:rPr>
                <w:color w:val="000000"/>
              </w:rPr>
              <w:t xml:space="preserve">is </w:t>
            </w:r>
            <w:r>
              <w:rPr>
                <w:color w:val="000000"/>
              </w:rPr>
              <w:t>necessary to identify, prevent, or tr</w:t>
            </w:r>
            <w:r>
              <w:rPr>
                <w:color w:val="000000"/>
              </w:rPr>
              <w:t>eat physical or sexual assault or neglect of an offender.</w:t>
            </w:r>
            <w:r>
              <w:rPr>
                <w:color w:val="000000"/>
              </w:rPr>
              <w:t xml:space="preserve"> </w:t>
            </w:r>
          </w:p>
          <w:p w:rsidR="00C00B2A" w:rsidRDefault="000D7D34" w:rsidP="004A1B4F">
            <w:pPr>
              <w:jc w:val="both"/>
            </w:pPr>
          </w:p>
          <w:p w:rsidR="000D04A5" w:rsidRDefault="000D7D34" w:rsidP="004A1B4F">
            <w:pPr>
              <w:jc w:val="both"/>
            </w:pPr>
            <w:r>
              <w:t>C.S.</w:t>
            </w:r>
            <w:r>
              <w:t xml:space="preserve">H.B. 363 </w:t>
            </w:r>
            <w:r>
              <w:t>requires the ombudsman to promote awareness among TDCJ, the public, and offenders regarding how the office may be contacted, the purpose of the office, and the services the office pro</w:t>
            </w:r>
            <w:r>
              <w:t xml:space="preserve">vides. </w:t>
            </w:r>
          </w:p>
          <w:p w:rsidR="000D04A5" w:rsidRDefault="000D7D34" w:rsidP="004A1B4F">
            <w:pPr>
              <w:jc w:val="both"/>
            </w:pPr>
          </w:p>
          <w:p w:rsidR="0047077A" w:rsidRDefault="000D7D34" w:rsidP="004A1B4F">
            <w:pPr>
              <w:jc w:val="both"/>
            </w:pPr>
            <w:r>
              <w:t>C.S.</w:t>
            </w:r>
            <w:r>
              <w:t>H.B. 363</w:t>
            </w:r>
            <w:r>
              <w:t xml:space="preserve"> </w:t>
            </w:r>
            <w:r w:rsidRPr="0047077A">
              <w:t>requires the office by rule to establish policies and procedures for the operations of the office.</w:t>
            </w:r>
            <w:r>
              <w:t xml:space="preserve"> The bill </w:t>
            </w:r>
            <w:r>
              <w:t xml:space="preserve">creates an advisory board </w:t>
            </w:r>
            <w:r w:rsidRPr="00E72311">
              <w:t>to advise the office in carrying out the off</w:t>
            </w:r>
            <w:r>
              <w:t>ice's duties</w:t>
            </w:r>
            <w:r>
              <w:t xml:space="preserve"> and</w:t>
            </w:r>
            <w:r>
              <w:t xml:space="preserve"> sets out the composition of the advisor</w:t>
            </w:r>
            <w:r>
              <w:t>y boar</w:t>
            </w:r>
            <w:r>
              <w:t>d and provisions relating to member terms. The bill</w:t>
            </w:r>
            <w:r>
              <w:t xml:space="preserve"> requires the governor to appoint the members of the advisory board</w:t>
            </w:r>
            <w:r>
              <w:t xml:space="preserve"> not later than December 1, 2019</w:t>
            </w:r>
            <w:r>
              <w:t xml:space="preserve">, and authorizes certain members of the legislature to provide the governor with recommendations on </w:t>
            </w:r>
            <w:r>
              <w:t>any such appointment</w:t>
            </w:r>
            <w:r>
              <w:t xml:space="preserve">. </w:t>
            </w:r>
            <w:r>
              <w:t>The bill exempts the composition and duration of the advisory board from state law</w:t>
            </w:r>
            <w:r>
              <w:t xml:space="preserve"> </w:t>
            </w:r>
            <w:r>
              <w:t xml:space="preserve">governing </w:t>
            </w:r>
            <w:r>
              <w:t>state agency advisory committees.</w:t>
            </w:r>
          </w:p>
          <w:p w:rsidR="00DD27A8" w:rsidRDefault="000D7D34" w:rsidP="004A1B4F"/>
          <w:p w:rsidR="00987D3B" w:rsidRDefault="000D7D34" w:rsidP="004A1B4F">
            <w:pPr>
              <w:jc w:val="both"/>
            </w:pPr>
            <w:r>
              <w:t>C.S.</w:t>
            </w:r>
            <w:r>
              <w:t xml:space="preserve">H.B. 363 </w:t>
            </w:r>
            <w:r w:rsidRPr="00117088">
              <w:t>requires the ombudsman</w:t>
            </w:r>
            <w:r w:rsidRPr="00117088">
              <w:t xml:space="preserve"> to prepare and submit to the governor, the lieutenant governor, the state auditor, and each member of the legislature periodic reports that evaluate</w:t>
            </w:r>
            <w:r>
              <w:t xml:space="preserve"> </w:t>
            </w:r>
            <w:r w:rsidRPr="00284368">
              <w:t xml:space="preserve">systemic issues affecting </w:t>
            </w:r>
            <w:r>
              <w:t>TDCJ</w:t>
            </w:r>
            <w:r w:rsidRPr="00284368">
              <w:t xml:space="preserve"> and</w:t>
            </w:r>
            <w:r w:rsidRPr="00117088">
              <w:t xml:space="preserve"> any current issues at individual facilities and an annual report that i</w:t>
            </w:r>
            <w:r w:rsidRPr="00117088">
              <w:t>s both aggregated and disaggregated by individual facility and describes the work of the ombudsman and office, the results of any review or investigation undertaken by the ombudsman, and any recommendations that the ombudsman has regarding the duties of th</w:t>
            </w:r>
            <w:r w:rsidRPr="00117088">
              <w:t>e ombudsman or the operations of TDCJ.</w:t>
            </w:r>
            <w:r>
              <w:t xml:space="preserve"> </w:t>
            </w:r>
          </w:p>
          <w:p w:rsidR="00987D3B" w:rsidRDefault="000D7D34" w:rsidP="004A1B4F">
            <w:pPr>
              <w:jc w:val="both"/>
            </w:pPr>
          </w:p>
          <w:p w:rsidR="00DD27A8" w:rsidRDefault="000D7D34" w:rsidP="004A1B4F">
            <w:pPr>
              <w:jc w:val="both"/>
            </w:pPr>
            <w:r>
              <w:t>C.S.</w:t>
            </w:r>
            <w:r>
              <w:t>H.B. 363</w:t>
            </w:r>
            <w:r>
              <w:t xml:space="preserve"> </w:t>
            </w:r>
            <w:r w:rsidRPr="00117088">
              <w:t>requires the ombudsman to immediately report to the executive director of TDCJ or the executive director's designee, the governor, the lieutenant governor, the speaker of the house of representatives, t</w:t>
            </w:r>
            <w:r w:rsidRPr="00117088">
              <w:t xml:space="preserve">he state auditor, and the office of the inspector general of TDCJ any particularly serious or flagrant </w:t>
            </w:r>
            <w:r>
              <w:t xml:space="preserve">confirmed </w:t>
            </w:r>
            <w:r w:rsidRPr="00117088">
              <w:t>case of abuse or injury of an offender, problem concerning the administration of a TDCJ program or operation, problem concerning the delivery o</w:t>
            </w:r>
            <w:r w:rsidRPr="00117088">
              <w:t>f services in a facility, or interference by TDCJ with an investigation conducted by the office.</w:t>
            </w:r>
            <w:r>
              <w:t xml:space="preserve"> The bill requires TDCJ</w:t>
            </w:r>
            <w:r>
              <w:t>, in response to any recommendation made by the ombudsman in such a submitted report,</w:t>
            </w:r>
            <w:r>
              <w:t xml:space="preserve"> to develop a corrective action plan </w:t>
            </w:r>
            <w:r>
              <w:t>to specifically</w:t>
            </w:r>
            <w:r>
              <w:t xml:space="preserve"> address the recommendation </w:t>
            </w:r>
            <w:r>
              <w:t xml:space="preserve">or </w:t>
            </w:r>
            <w:r w:rsidRPr="00284368">
              <w:t>submit to the ombudsman a written objection to the recommendation that includes the reasons for the objection</w:t>
            </w:r>
            <w:r>
              <w:t>. The bill</w:t>
            </w:r>
            <w:r>
              <w:t xml:space="preserve"> requires the ombudsman to </w:t>
            </w:r>
            <w:r>
              <w:t>publish on the office's website</w:t>
            </w:r>
            <w:r>
              <w:t xml:space="preserve"> </w:t>
            </w:r>
            <w:r>
              <w:t>each report submitted</w:t>
            </w:r>
            <w:r>
              <w:t>,</w:t>
            </w:r>
            <w:r>
              <w:t xml:space="preserve"> corrective action plan d</w:t>
            </w:r>
            <w:r>
              <w:t>eveloped</w:t>
            </w:r>
            <w:r>
              <w:t>, and objection submitted</w:t>
            </w:r>
            <w:r>
              <w:t xml:space="preserve"> under the bill's provisions</w:t>
            </w:r>
            <w:r>
              <w:t>.</w:t>
            </w:r>
          </w:p>
          <w:p w:rsidR="008423E4" w:rsidRPr="00835628" w:rsidRDefault="000D7D34" w:rsidP="004A1B4F">
            <w:pPr>
              <w:rPr>
                <w:b/>
              </w:rPr>
            </w:pPr>
          </w:p>
        </w:tc>
      </w:tr>
      <w:tr w:rsidR="00252989" w:rsidTr="00345119">
        <w:tc>
          <w:tcPr>
            <w:tcW w:w="9576" w:type="dxa"/>
          </w:tcPr>
          <w:p w:rsidR="008423E4" w:rsidRPr="00A8133F" w:rsidRDefault="000D7D34" w:rsidP="004A1B4F">
            <w:pPr>
              <w:rPr>
                <w:b/>
              </w:rPr>
            </w:pPr>
            <w:r w:rsidRPr="009C1E9A">
              <w:rPr>
                <w:b/>
                <w:u w:val="single"/>
              </w:rPr>
              <w:t>EFFECTIVE DATE</w:t>
            </w:r>
            <w:r>
              <w:rPr>
                <w:b/>
              </w:rPr>
              <w:t xml:space="preserve"> </w:t>
            </w:r>
          </w:p>
          <w:p w:rsidR="008423E4" w:rsidRDefault="000D7D34" w:rsidP="004A1B4F"/>
          <w:p w:rsidR="008423E4" w:rsidRPr="003624F2" w:rsidRDefault="000D7D34" w:rsidP="004A1B4F">
            <w:pPr>
              <w:pStyle w:val="Header"/>
              <w:tabs>
                <w:tab w:val="clear" w:pos="4320"/>
                <w:tab w:val="clear" w:pos="8640"/>
              </w:tabs>
              <w:jc w:val="both"/>
            </w:pPr>
            <w:r w:rsidRPr="0073758D">
              <w:t>September 1, 2019.</w:t>
            </w:r>
          </w:p>
          <w:p w:rsidR="008423E4" w:rsidRPr="00233FDB" w:rsidRDefault="000D7D34" w:rsidP="004A1B4F">
            <w:pPr>
              <w:rPr>
                <w:b/>
              </w:rPr>
            </w:pPr>
          </w:p>
        </w:tc>
      </w:tr>
      <w:tr w:rsidR="00252989" w:rsidTr="00345119">
        <w:tc>
          <w:tcPr>
            <w:tcW w:w="9576" w:type="dxa"/>
          </w:tcPr>
          <w:p w:rsidR="00FD369A" w:rsidRDefault="000D7D34" w:rsidP="004A1B4F">
            <w:pPr>
              <w:jc w:val="both"/>
              <w:rPr>
                <w:b/>
                <w:u w:val="single"/>
              </w:rPr>
            </w:pPr>
            <w:r>
              <w:rPr>
                <w:b/>
                <w:u w:val="single"/>
              </w:rPr>
              <w:t>COMPARISON OF ORIGINAL AND SUBSTITUTE</w:t>
            </w:r>
          </w:p>
          <w:p w:rsidR="006F68C5" w:rsidRDefault="000D7D34" w:rsidP="004A1B4F">
            <w:pPr>
              <w:jc w:val="both"/>
            </w:pPr>
          </w:p>
          <w:p w:rsidR="006F68C5" w:rsidRDefault="000D7D34" w:rsidP="004A1B4F">
            <w:pPr>
              <w:jc w:val="both"/>
            </w:pPr>
            <w:r>
              <w:t xml:space="preserve">While C.S.H.B. 363 may differ from the original in minor or nonsubstantive ways, the following summarizes the </w:t>
            </w:r>
            <w:r>
              <w:t>substantial differences between the introduced and committee substitute versions of the bill.</w:t>
            </w:r>
          </w:p>
          <w:p w:rsidR="006F68C5" w:rsidRDefault="000D7D34" w:rsidP="004A1B4F">
            <w:pPr>
              <w:jc w:val="both"/>
            </w:pPr>
          </w:p>
          <w:p w:rsidR="00800103" w:rsidRDefault="000D7D34" w:rsidP="004A1B4F">
            <w:pPr>
              <w:jc w:val="both"/>
            </w:pPr>
            <w:r>
              <w:t xml:space="preserve">The substitute </w:t>
            </w:r>
            <w:r>
              <w:t>revises the purposes of the office and the</w:t>
            </w:r>
            <w:r>
              <w:t xml:space="preserve"> </w:t>
            </w:r>
            <w:r>
              <w:t xml:space="preserve">duties </w:t>
            </w:r>
            <w:r>
              <w:t>of the ombudsman</w:t>
            </w:r>
            <w:r>
              <w:t xml:space="preserve"> and requir</w:t>
            </w:r>
            <w:r>
              <w:t xml:space="preserve">es the person appointed as ombudsman to be from a list of persons recommended by the chair of each standing legislative committee with primary jurisdiction over TDCJ. </w:t>
            </w:r>
            <w:r>
              <w:t xml:space="preserve">The substitute </w:t>
            </w:r>
            <w:r>
              <w:t xml:space="preserve">expands the group of persons for whom a </w:t>
            </w:r>
            <w:r w:rsidRPr="00117088">
              <w:t>conflict</w:t>
            </w:r>
            <w:r>
              <w:t xml:space="preserve"> </w:t>
            </w:r>
            <w:r w:rsidRPr="00117088">
              <w:t xml:space="preserve">of interest </w:t>
            </w:r>
            <w:r>
              <w:t>exists preclu</w:t>
            </w:r>
            <w:r>
              <w:t>ding</w:t>
            </w:r>
            <w:r w:rsidRPr="00117088">
              <w:t xml:space="preserve"> servi</w:t>
            </w:r>
            <w:r>
              <w:t>ce</w:t>
            </w:r>
            <w:r w:rsidRPr="00117088">
              <w:t xml:space="preserve"> as ombudsman</w:t>
            </w:r>
            <w:r>
              <w:t xml:space="preserve"> or as an assistant ombudsman</w:t>
            </w:r>
            <w:r>
              <w:t>.</w:t>
            </w:r>
          </w:p>
          <w:p w:rsidR="00800103" w:rsidRDefault="000D7D34" w:rsidP="004A1B4F">
            <w:pPr>
              <w:jc w:val="both"/>
            </w:pPr>
          </w:p>
          <w:p w:rsidR="00800103" w:rsidRDefault="000D7D34" w:rsidP="004A1B4F">
            <w:pPr>
              <w:jc w:val="both"/>
            </w:pPr>
            <w:r>
              <w:t xml:space="preserve">The substitute includes a provision establishing the independence of an inmate's complaint to the office and </w:t>
            </w:r>
            <w:r>
              <w:t xml:space="preserve">an </w:t>
            </w:r>
            <w:r>
              <w:t>office-conducted investigation from the inmate grievance system.</w:t>
            </w:r>
          </w:p>
          <w:p w:rsidR="0073335A" w:rsidRDefault="000D7D34" w:rsidP="004A1B4F">
            <w:pPr>
              <w:jc w:val="both"/>
            </w:pPr>
          </w:p>
          <w:p w:rsidR="0073335A" w:rsidRDefault="000D7D34" w:rsidP="004A1B4F">
            <w:pPr>
              <w:jc w:val="both"/>
            </w:pPr>
            <w:r>
              <w:t>The substitute</w:t>
            </w:r>
            <w:r>
              <w:t xml:space="preserve"> includ</w:t>
            </w:r>
            <w:r>
              <w:t>es the following</w:t>
            </w:r>
            <w:r>
              <w:t xml:space="preserve"> with regard to the reports submitted by the ombudsman</w:t>
            </w:r>
            <w:r>
              <w:t xml:space="preserve"> to members of the legislature and the applicable state officers</w:t>
            </w:r>
            <w:r>
              <w:t xml:space="preserve"> and agencies</w:t>
            </w:r>
            <w:r>
              <w:t>:</w:t>
            </w:r>
          </w:p>
          <w:p w:rsidR="00EB143C" w:rsidRDefault="000D7D34" w:rsidP="004A1B4F">
            <w:pPr>
              <w:pStyle w:val="ListParagraph"/>
              <w:numPr>
                <w:ilvl w:val="0"/>
                <w:numId w:val="2"/>
              </w:numPr>
              <w:spacing w:before="120" w:after="120"/>
              <w:jc w:val="both"/>
            </w:pPr>
            <w:r>
              <w:t>a requirement that the periodic report also evaluate systemic issues affecting TDCJ;</w:t>
            </w:r>
          </w:p>
          <w:p w:rsidR="00860CD1" w:rsidRDefault="000D7D34" w:rsidP="004A1B4F">
            <w:pPr>
              <w:pStyle w:val="ListParagraph"/>
              <w:numPr>
                <w:ilvl w:val="0"/>
                <w:numId w:val="2"/>
              </w:numPr>
              <w:spacing w:before="120" w:after="120"/>
              <w:jc w:val="both"/>
            </w:pPr>
            <w:r>
              <w:t xml:space="preserve">a specification that </w:t>
            </w:r>
            <w:r>
              <w:t>an immediately reported case of abuse or injury of an offender is a confirmed case;</w:t>
            </w:r>
          </w:p>
          <w:p w:rsidR="00EB143C" w:rsidRDefault="000D7D34" w:rsidP="004A1B4F">
            <w:pPr>
              <w:pStyle w:val="ListParagraph"/>
              <w:numPr>
                <w:ilvl w:val="0"/>
                <w:numId w:val="2"/>
              </w:numPr>
              <w:spacing w:before="120" w:after="120"/>
              <w:jc w:val="both"/>
            </w:pPr>
            <w:r>
              <w:t>a requirement for TDCJ to submit a written objection to a recommendation made by the ombudsman in a report;</w:t>
            </w:r>
            <w:r>
              <w:t xml:space="preserve"> and</w:t>
            </w:r>
          </w:p>
          <w:p w:rsidR="00EB143C" w:rsidRDefault="000D7D34" w:rsidP="004A1B4F">
            <w:pPr>
              <w:pStyle w:val="ListParagraph"/>
              <w:numPr>
                <w:ilvl w:val="0"/>
                <w:numId w:val="2"/>
              </w:numPr>
              <w:spacing w:before="120" w:after="120"/>
              <w:jc w:val="both"/>
            </w:pPr>
            <w:r>
              <w:t>a specification that the place in which the ombudsman is req</w:t>
            </w:r>
            <w:r>
              <w:t xml:space="preserve">uired to make its reports, corrective action plans, and such objections public is on the office's website.  </w:t>
            </w:r>
          </w:p>
          <w:p w:rsidR="00EB143C" w:rsidRDefault="000D7D34" w:rsidP="004A1B4F">
            <w:pPr>
              <w:jc w:val="both"/>
            </w:pPr>
          </w:p>
          <w:p w:rsidR="009A134A" w:rsidRDefault="000D7D34" w:rsidP="004A1B4F">
            <w:pPr>
              <w:jc w:val="both"/>
            </w:pPr>
            <w:r>
              <w:t>The substitute expands the types of facility information that the office may inspect or review without notice and requires the ombudsman to coordi</w:t>
            </w:r>
            <w:r>
              <w:t>nate with the office of the inspector general of TDCJ to develop</w:t>
            </w:r>
            <w:r>
              <w:t xml:space="preserve"> certain policies and procedures regarding such an inspection or review. </w:t>
            </w:r>
          </w:p>
          <w:p w:rsidR="009000AC" w:rsidRDefault="000D7D34" w:rsidP="004A1B4F">
            <w:pPr>
              <w:jc w:val="both"/>
            </w:pPr>
          </w:p>
          <w:p w:rsidR="00EB143C" w:rsidRDefault="000D7D34" w:rsidP="004A1B4F">
            <w:pPr>
              <w:jc w:val="both"/>
            </w:pPr>
            <w:r>
              <w:t>The substitute does not include:</w:t>
            </w:r>
          </w:p>
          <w:p w:rsidR="00433A13" w:rsidRDefault="000D7D34" w:rsidP="004A1B4F">
            <w:pPr>
              <w:pStyle w:val="ListParagraph"/>
              <w:numPr>
                <w:ilvl w:val="0"/>
                <w:numId w:val="3"/>
              </w:numPr>
              <w:spacing w:before="120" w:after="120"/>
              <w:jc w:val="both"/>
            </w:pPr>
            <w:r>
              <w:t xml:space="preserve">a requirement for TCJS to provide </w:t>
            </w:r>
            <w:r>
              <w:t xml:space="preserve">budgetary and </w:t>
            </w:r>
            <w:r>
              <w:t xml:space="preserve">legal support services to </w:t>
            </w:r>
            <w:r>
              <w:t xml:space="preserve">the </w:t>
            </w:r>
            <w:r>
              <w:t>office</w:t>
            </w:r>
            <w:r>
              <w:t xml:space="preserve"> as necessary to carry out the</w:t>
            </w:r>
            <w:r>
              <w:t xml:space="preserve"> bill's</w:t>
            </w:r>
            <w:r>
              <w:t xml:space="preserve"> purposes; </w:t>
            </w:r>
          </w:p>
          <w:p w:rsidR="00EB143C" w:rsidRDefault="000D7D34" w:rsidP="004A1B4F">
            <w:pPr>
              <w:pStyle w:val="ListParagraph"/>
              <w:numPr>
                <w:ilvl w:val="0"/>
                <w:numId w:val="3"/>
              </w:numPr>
              <w:spacing w:before="120" w:after="120"/>
              <w:jc w:val="both"/>
            </w:pPr>
            <w:r>
              <w:t>a provision subjecting the office to an audit by the state auditor;</w:t>
            </w:r>
          </w:p>
          <w:p w:rsidR="00433A13" w:rsidRDefault="000D7D34" w:rsidP="004A1B4F">
            <w:pPr>
              <w:pStyle w:val="ListParagraph"/>
              <w:numPr>
                <w:ilvl w:val="0"/>
                <w:numId w:val="3"/>
              </w:numPr>
              <w:spacing w:before="120" w:after="120"/>
              <w:jc w:val="both"/>
            </w:pPr>
            <w:r>
              <w:t>an authorization for the office to contract with subject matter experts as necessary to carry out its duties; or</w:t>
            </w:r>
          </w:p>
          <w:p w:rsidR="00433A13" w:rsidRDefault="000D7D34" w:rsidP="004A1B4F">
            <w:pPr>
              <w:pStyle w:val="ListParagraph"/>
              <w:numPr>
                <w:ilvl w:val="0"/>
                <w:numId w:val="3"/>
              </w:numPr>
              <w:spacing w:before="120" w:after="120"/>
              <w:contextualSpacing w:val="0"/>
              <w:jc w:val="both"/>
            </w:pPr>
            <w:r>
              <w:t xml:space="preserve">a </w:t>
            </w:r>
            <w:r>
              <w:t xml:space="preserve">requirement </w:t>
            </w:r>
            <w:r>
              <w:t>for</w:t>
            </w:r>
            <w:r>
              <w:t xml:space="preserve"> </w:t>
            </w:r>
            <w:r>
              <w:t>the Depa</w:t>
            </w:r>
            <w:r>
              <w:t xml:space="preserve">rtment of Public Safety and </w:t>
            </w:r>
            <w:r w:rsidRPr="006F68C5">
              <w:t>local law enforcemen</w:t>
            </w:r>
            <w:r>
              <w:t>t agencies</w:t>
            </w:r>
            <w:r w:rsidRPr="006F68C5">
              <w:t xml:space="preserve"> to allow the ombudsman to access their records</w:t>
            </w:r>
            <w:r>
              <w:t xml:space="preserve"> relating to any offender</w:t>
            </w:r>
            <w:r>
              <w:t>.</w:t>
            </w:r>
          </w:p>
          <w:p w:rsidR="00EB143C" w:rsidRPr="006F68C5" w:rsidRDefault="000D7D34" w:rsidP="004A1B4F">
            <w:pPr>
              <w:jc w:val="both"/>
            </w:pPr>
            <w:r>
              <w:t>The substitute revises the composition of the advisory board, makes the governor the sole person who appoints board members,</w:t>
            </w:r>
            <w:r>
              <w:t xml:space="preserve"> includes a deadline for that appointment, and includes an authorization for certain members of the legislature to provide the governor with recommendations on any such appointment. The substitute includes provisions relating to board member terms. </w:t>
            </w:r>
          </w:p>
        </w:tc>
      </w:tr>
      <w:tr w:rsidR="00252989" w:rsidTr="00345119">
        <w:tc>
          <w:tcPr>
            <w:tcW w:w="9576" w:type="dxa"/>
          </w:tcPr>
          <w:p w:rsidR="00FD369A" w:rsidRPr="009C1E9A" w:rsidRDefault="000D7D34" w:rsidP="004A1B4F">
            <w:pPr>
              <w:jc w:val="both"/>
              <w:rPr>
                <w:b/>
                <w:u w:val="single"/>
              </w:rPr>
            </w:pPr>
          </w:p>
        </w:tc>
      </w:tr>
      <w:tr w:rsidR="00252989" w:rsidTr="00345119">
        <w:tc>
          <w:tcPr>
            <w:tcW w:w="9576" w:type="dxa"/>
          </w:tcPr>
          <w:p w:rsidR="00FD369A" w:rsidRPr="00FD369A" w:rsidRDefault="000D7D34" w:rsidP="004A1B4F">
            <w:pPr>
              <w:jc w:val="both"/>
            </w:pPr>
          </w:p>
        </w:tc>
      </w:tr>
    </w:tbl>
    <w:p w:rsidR="008423E4" w:rsidRPr="00BE0E75" w:rsidRDefault="000D7D34" w:rsidP="008423E4">
      <w:pPr>
        <w:spacing w:line="480" w:lineRule="auto"/>
        <w:jc w:val="both"/>
        <w:rPr>
          <w:rFonts w:ascii="Arial" w:hAnsi="Arial"/>
          <w:sz w:val="16"/>
          <w:szCs w:val="16"/>
        </w:rPr>
      </w:pPr>
    </w:p>
    <w:p w:rsidR="004108C3" w:rsidRPr="008423E4" w:rsidRDefault="000D7D3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7D34">
      <w:r>
        <w:separator/>
      </w:r>
    </w:p>
  </w:endnote>
  <w:endnote w:type="continuationSeparator" w:id="0">
    <w:p w:rsidR="00000000" w:rsidRDefault="000D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7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52989" w:rsidTr="009C1E9A">
      <w:trPr>
        <w:cantSplit/>
      </w:trPr>
      <w:tc>
        <w:tcPr>
          <w:tcW w:w="0" w:type="pct"/>
        </w:tcPr>
        <w:p w:rsidR="00137D90" w:rsidRDefault="000D7D34" w:rsidP="009C1E9A">
          <w:pPr>
            <w:pStyle w:val="Footer"/>
            <w:tabs>
              <w:tab w:val="clear" w:pos="8640"/>
              <w:tab w:val="right" w:pos="9360"/>
            </w:tabs>
          </w:pPr>
        </w:p>
      </w:tc>
      <w:tc>
        <w:tcPr>
          <w:tcW w:w="2395" w:type="pct"/>
        </w:tcPr>
        <w:p w:rsidR="00137D90" w:rsidRDefault="000D7D34" w:rsidP="009C1E9A">
          <w:pPr>
            <w:pStyle w:val="Footer"/>
            <w:tabs>
              <w:tab w:val="clear" w:pos="8640"/>
              <w:tab w:val="right" w:pos="9360"/>
            </w:tabs>
          </w:pPr>
        </w:p>
        <w:p w:rsidR="001A4310" w:rsidRDefault="000D7D34" w:rsidP="009C1E9A">
          <w:pPr>
            <w:pStyle w:val="Footer"/>
            <w:tabs>
              <w:tab w:val="clear" w:pos="8640"/>
              <w:tab w:val="right" w:pos="9360"/>
            </w:tabs>
          </w:pPr>
        </w:p>
        <w:p w:rsidR="00137D90" w:rsidRDefault="000D7D34" w:rsidP="009C1E9A">
          <w:pPr>
            <w:pStyle w:val="Footer"/>
            <w:tabs>
              <w:tab w:val="clear" w:pos="8640"/>
              <w:tab w:val="right" w:pos="9360"/>
            </w:tabs>
          </w:pPr>
        </w:p>
      </w:tc>
      <w:tc>
        <w:tcPr>
          <w:tcW w:w="2453" w:type="pct"/>
        </w:tcPr>
        <w:p w:rsidR="00137D90" w:rsidRDefault="000D7D34" w:rsidP="009C1E9A">
          <w:pPr>
            <w:pStyle w:val="Footer"/>
            <w:tabs>
              <w:tab w:val="clear" w:pos="8640"/>
              <w:tab w:val="right" w:pos="9360"/>
            </w:tabs>
            <w:jc w:val="right"/>
          </w:pPr>
        </w:p>
      </w:tc>
    </w:tr>
    <w:tr w:rsidR="00252989" w:rsidTr="009C1E9A">
      <w:trPr>
        <w:cantSplit/>
      </w:trPr>
      <w:tc>
        <w:tcPr>
          <w:tcW w:w="0" w:type="pct"/>
        </w:tcPr>
        <w:p w:rsidR="00EC379B" w:rsidRDefault="000D7D34" w:rsidP="009C1E9A">
          <w:pPr>
            <w:pStyle w:val="Footer"/>
            <w:tabs>
              <w:tab w:val="clear" w:pos="8640"/>
              <w:tab w:val="right" w:pos="9360"/>
            </w:tabs>
          </w:pPr>
        </w:p>
      </w:tc>
      <w:tc>
        <w:tcPr>
          <w:tcW w:w="2395" w:type="pct"/>
        </w:tcPr>
        <w:p w:rsidR="00EC379B" w:rsidRPr="009C1E9A" w:rsidRDefault="000D7D34" w:rsidP="009C1E9A">
          <w:pPr>
            <w:pStyle w:val="Footer"/>
            <w:tabs>
              <w:tab w:val="clear" w:pos="8640"/>
              <w:tab w:val="right" w:pos="9360"/>
            </w:tabs>
            <w:rPr>
              <w:rFonts w:ascii="Shruti" w:hAnsi="Shruti"/>
              <w:sz w:val="22"/>
            </w:rPr>
          </w:pPr>
          <w:r>
            <w:rPr>
              <w:rFonts w:ascii="Shruti" w:hAnsi="Shruti"/>
              <w:sz w:val="22"/>
            </w:rPr>
            <w:t>86R 27761</w:t>
          </w:r>
        </w:p>
      </w:tc>
      <w:tc>
        <w:tcPr>
          <w:tcW w:w="2453" w:type="pct"/>
        </w:tcPr>
        <w:p w:rsidR="00EC379B" w:rsidRDefault="000D7D34" w:rsidP="009C1E9A">
          <w:pPr>
            <w:pStyle w:val="Footer"/>
            <w:tabs>
              <w:tab w:val="clear" w:pos="8640"/>
              <w:tab w:val="right" w:pos="9360"/>
            </w:tabs>
            <w:jc w:val="right"/>
          </w:pPr>
          <w:r>
            <w:fldChar w:fldCharType="begin"/>
          </w:r>
          <w:r>
            <w:instrText xml:space="preserve"> DOCPROPERTY  OTID  \* MERGEFORMAT </w:instrText>
          </w:r>
          <w:r>
            <w:fldChar w:fldCharType="separate"/>
          </w:r>
          <w:r>
            <w:t>19.106.1849</w:t>
          </w:r>
          <w:r>
            <w:fldChar w:fldCharType="end"/>
          </w:r>
        </w:p>
      </w:tc>
    </w:tr>
    <w:tr w:rsidR="00252989" w:rsidTr="009C1E9A">
      <w:trPr>
        <w:cantSplit/>
      </w:trPr>
      <w:tc>
        <w:tcPr>
          <w:tcW w:w="0" w:type="pct"/>
        </w:tcPr>
        <w:p w:rsidR="00EC379B" w:rsidRDefault="000D7D34" w:rsidP="009C1E9A">
          <w:pPr>
            <w:pStyle w:val="Footer"/>
            <w:tabs>
              <w:tab w:val="clear" w:pos="4320"/>
              <w:tab w:val="clear" w:pos="8640"/>
              <w:tab w:val="left" w:pos="2865"/>
            </w:tabs>
          </w:pPr>
        </w:p>
      </w:tc>
      <w:tc>
        <w:tcPr>
          <w:tcW w:w="2395" w:type="pct"/>
        </w:tcPr>
        <w:p w:rsidR="00EC379B" w:rsidRPr="009C1E9A" w:rsidRDefault="000D7D34" w:rsidP="009C1E9A">
          <w:pPr>
            <w:pStyle w:val="Footer"/>
            <w:tabs>
              <w:tab w:val="clear" w:pos="4320"/>
              <w:tab w:val="clear" w:pos="8640"/>
              <w:tab w:val="left" w:pos="2865"/>
            </w:tabs>
            <w:rPr>
              <w:rFonts w:ascii="Shruti" w:hAnsi="Shruti"/>
              <w:sz w:val="22"/>
            </w:rPr>
          </w:pPr>
          <w:r>
            <w:rPr>
              <w:rFonts w:ascii="Shruti" w:hAnsi="Shruti"/>
              <w:sz w:val="22"/>
            </w:rPr>
            <w:t>Substitute Document Number: 86R 14912</w:t>
          </w:r>
        </w:p>
      </w:tc>
      <w:tc>
        <w:tcPr>
          <w:tcW w:w="2453" w:type="pct"/>
        </w:tcPr>
        <w:p w:rsidR="00EC379B" w:rsidRDefault="000D7D34" w:rsidP="006D504F">
          <w:pPr>
            <w:pStyle w:val="Footer"/>
            <w:rPr>
              <w:rStyle w:val="PageNumber"/>
            </w:rPr>
          </w:pPr>
        </w:p>
        <w:p w:rsidR="00EC379B" w:rsidRDefault="000D7D34" w:rsidP="009C1E9A">
          <w:pPr>
            <w:pStyle w:val="Footer"/>
            <w:tabs>
              <w:tab w:val="clear" w:pos="8640"/>
              <w:tab w:val="right" w:pos="9360"/>
            </w:tabs>
            <w:jc w:val="right"/>
          </w:pPr>
        </w:p>
      </w:tc>
    </w:tr>
    <w:tr w:rsidR="00252989" w:rsidTr="009C1E9A">
      <w:trPr>
        <w:cantSplit/>
        <w:trHeight w:val="323"/>
      </w:trPr>
      <w:tc>
        <w:tcPr>
          <w:tcW w:w="0" w:type="pct"/>
          <w:gridSpan w:val="3"/>
        </w:tcPr>
        <w:p w:rsidR="00EC379B" w:rsidRDefault="000D7D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0D7D34" w:rsidP="009C1E9A">
          <w:pPr>
            <w:pStyle w:val="Footer"/>
            <w:tabs>
              <w:tab w:val="clear" w:pos="8640"/>
              <w:tab w:val="right" w:pos="9360"/>
            </w:tabs>
            <w:jc w:val="center"/>
          </w:pPr>
        </w:p>
      </w:tc>
    </w:tr>
  </w:tbl>
  <w:p w:rsidR="00EC379B" w:rsidRPr="00FF6F72" w:rsidRDefault="000D7D3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7D34">
      <w:r>
        <w:separator/>
      </w:r>
    </w:p>
  </w:footnote>
  <w:footnote w:type="continuationSeparator" w:id="0">
    <w:p w:rsidR="00000000" w:rsidRDefault="000D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7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7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D7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5E5"/>
    <w:multiLevelType w:val="hybridMultilevel"/>
    <w:tmpl w:val="529A3970"/>
    <w:lvl w:ilvl="0" w:tplc="B5AADF80">
      <w:start w:val="1"/>
      <w:numFmt w:val="bullet"/>
      <w:lvlText w:val=""/>
      <w:lvlJc w:val="left"/>
      <w:pPr>
        <w:tabs>
          <w:tab w:val="num" w:pos="720"/>
        </w:tabs>
        <w:ind w:left="720" w:hanging="360"/>
      </w:pPr>
      <w:rPr>
        <w:rFonts w:ascii="Symbol" w:hAnsi="Symbol" w:hint="default"/>
      </w:rPr>
    </w:lvl>
    <w:lvl w:ilvl="1" w:tplc="F5CC588A" w:tentative="1">
      <w:start w:val="1"/>
      <w:numFmt w:val="bullet"/>
      <w:lvlText w:val="o"/>
      <w:lvlJc w:val="left"/>
      <w:pPr>
        <w:ind w:left="1440" w:hanging="360"/>
      </w:pPr>
      <w:rPr>
        <w:rFonts w:ascii="Courier New" w:hAnsi="Courier New" w:cs="Courier New" w:hint="default"/>
      </w:rPr>
    </w:lvl>
    <w:lvl w:ilvl="2" w:tplc="3640B662" w:tentative="1">
      <w:start w:val="1"/>
      <w:numFmt w:val="bullet"/>
      <w:lvlText w:val=""/>
      <w:lvlJc w:val="left"/>
      <w:pPr>
        <w:ind w:left="2160" w:hanging="360"/>
      </w:pPr>
      <w:rPr>
        <w:rFonts w:ascii="Wingdings" w:hAnsi="Wingdings" w:hint="default"/>
      </w:rPr>
    </w:lvl>
    <w:lvl w:ilvl="3" w:tplc="50F2D9E2" w:tentative="1">
      <w:start w:val="1"/>
      <w:numFmt w:val="bullet"/>
      <w:lvlText w:val=""/>
      <w:lvlJc w:val="left"/>
      <w:pPr>
        <w:ind w:left="2880" w:hanging="360"/>
      </w:pPr>
      <w:rPr>
        <w:rFonts w:ascii="Symbol" w:hAnsi="Symbol" w:hint="default"/>
      </w:rPr>
    </w:lvl>
    <w:lvl w:ilvl="4" w:tplc="67D02F98" w:tentative="1">
      <w:start w:val="1"/>
      <w:numFmt w:val="bullet"/>
      <w:lvlText w:val="o"/>
      <w:lvlJc w:val="left"/>
      <w:pPr>
        <w:ind w:left="3600" w:hanging="360"/>
      </w:pPr>
      <w:rPr>
        <w:rFonts w:ascii="Courier New" w:hAnsi="Courier New" w:cs="Courier New" w:hint="default"/>
      </w:rPr>
    </w:lvl>
    <w:lvl w:ilvl="5" w:tplc="2F96F3FA" w:tentative="1">
      <w:start w:val="1"/>
      <w:numFmt w:val="bullet"/>
      <w:lvlText w:val=""/>
      <w:lvlJc w:val="left"/>
      <w:pPr>
        <w:ind w:left="4320" w:hanging="360"/>
      </w:pPr>
      <w:rPr>
        <w:rFonts w:ascii="Wingdings" w:hAnsi="Wingdings" w:hint="default"/>
      </w:rPr>
    </w:lvl>
    <w:lvl w:ilvl="6" w:tplc="7792B6D0" w:tentative="1">
      <w:start w:val="1"/>
      <w:numFmt w:val="bullet"/>
      <w:lvlText w:val=""/>
      <w:lvlJc w:val="left"/>
      <w:pPr>
        <w:ind w:left="5040" w:hanging="360"/>
      </w:pPr>
      <w:rPr>
        <w:rFonts w:ascii="Symbol" w:hAnsi="Symbol" w:hint="default"/>
      </w:rPr>
    </w:lvl>
    <w:lvl w:ilvl="7" w:tplc="CA8AA656" w:tentative="1">
      <w:start w:val="1"/>
      <w:numFmt w:val="bullet"/>
      <w:lvlText w:val="o"/>
      <w:lvlJc w:val="left"/>
      <w:pPr>
        <w:ind w:left="5760" w:hanging="360"/>
      </w:pPr>
      <w:rPr>
        <w:rFonts w:ascii="Courier New" w:hAnsi="Courier New" w:cs="Courier New" w:hint="default"/>
      </w:rPr>
    </w:lvl>
    <w:lvl w:ilvl="8" w:tplc="E4E846D0" w:tentative="1">
      <w:start w:val="1"/>
      <w:numFmt w:val="bullet"/>
      <w:lvlText w:val=""/>
      <w:lvlJc w:val="left"/>
      <w:pPr>
        <w:ind w:left="6480" w:hanging="360"/>
      </w:pPr>
      <w:rPr>
        <w:rFonts w:ascii="Wingdings" w:hAnsi="Wingdings" w:hint="default"/>
      </w:rPr>
    </w:lvl>
  </w:abstractNum>
  <w:abstractNum w:abstractNumId="1" w15:restartNumberingAfterBreak="0">
    <w:nsid w:val="274364D9"/>
    <w:multiLevelType w:val="hybridMultilevel"/>
    <w:tmpl w:val="4646572E"/>
    <w:lvl w:ilvl="0" w:tplc="9A6470CC">
      <w:start w:val="1"/>
      <w:numFmt w:val="bullet"/>
      <w:lvlText w:val=""/>
      <w:lvlJc w:val="left"/>
      <w:pPr>
        <w:ind w:left="720" w:hanging="360"/>
      </w:pPr>
      <w:rPr>
        <w:rFonts w:ascii="Symbol" w:hAnsi="Symbol" w:hint="default"/>
      </w:rPr>
    </w:lvl>
    <w:lvl w:ilvl="1" w:tplc="9F108F98" w:tentative="1">
      <w:start w:val="1"/>
      <w:numFmt w:val="bullet"/>
      <w:lvlText w:val="o"/>
      <w:lvlJc w:val="left"/>
      <w:pPr>
        <w:ind w:left="1440" w:hanging="360"/>
      </w:pPr>
      <w:rPr>
        <w:rFonts w:ascii="Courier New" w:hAnsi="Courier New" w:cs="Courier New" w:hint="default"/>
      </w:rPr>
    </w:lvl>
    <w:lvl w:ilvl="2" w:tplc="5198B6DC" w:tentative="1">
      <w:start w:val="1"/>
      <w:numFmt w:val="bullet"/>
      <w:lvlText w:val=""/>
      <w:lvlJc w:val="left"/>
      <w:pPr>
        <w:ind w:left="2160" w:hanging="360"/>
      </w:pPr>
      <w:rPr>
        <w:rFonts w:ascii="Wingdings" w:hAnsi="Wingdings" w:hint="default"/>
      </w:rPr>
    </w:lvl>
    <w:lvl w:ilvl="3" w:tplc="B74A448C" w:tentative="1">
      <w:start w:val="1"/>
      <w:numFmt w:val="bullet"/>
      <w:lvlText w:val=""/>
      <w:lvlJc w:val="left"/>
      <w:pPr>
        <w:ind w:left="2880" w:hanging="360"/>
      </w:pPr>
      <w:rPr>
        <w:rFonts w:ascii="Symbol" w:hAnsi="Symbol" w:hint="default"/>
      </w:rPr>
    </w:lvl>
    <w:lvl w:ilvl="4" w:tplc="0CDC990E" w:tentative="1">
      <w:start w:val="1"/>
      <w:numFmt w:val="bullet"/>
      <w:lvlText w:val="o"/>
      <w:lvlJc w:val="left"/>
      <w:pPr>
        <w:ind w:left="3600" w:hanging="360"/>
      </w:pPr>
      <w:rPr>
        <w:rFonts w:ascii="Courier New" w:hAnsi="Courier New" w:cs="Courier New" w:hint="default"/>
      </w:rPr>
    </w:lvl>
    <w:lvl w:ilvl="5" w:tplc="3042B712" w:tentative="1">
      <w:start w:val="1"/>
      <w:numFmt w:val="bullet"/>
      <w:lvlText w:val=""/>
      <w:lvlJc w:val="left"/>
      <w:pPr>
        <w:ind w:left="4320" w:hanging="360"/>
      </w:pPr>
      <w:rPr>
        <w:rFonts w:ascii="Wingdings" w:hAnsi="Wingdings" w:hint="default"/>
      </w:rPr>
    </w:lvl>
    <w:lvl w:ilvl="6" w:tplc="E6C468D0" w:tentative="1">
      <w:start w:val="1"/>
      <w:numFmt w:val="bullet"/>
      <w:lvlText w:val=""/>
      <w:lvlJc w:val="left"/>
      <w:pPr>
        <w:ind w:left="5040" w:hanging="360"/>
      </w:pPr>
      <w:rPr>
        <w:rFonts w:ascii="Symbol" w:hAnsi="Symbol" w:hint="default"/>
      </w:rPr>
    </w:lvl>
    <w:lvl w:ilvl="7" w:tplc="687A94A6" w:tentative="1">
      <w:start w:val="1"/>
      <w:numFmt w:val="bullet"/>
      <w:lvlText w:val="o"/>
      <w:lvlJc w:val="left"/>
      <w:pPr>
        <w:ind w:left="5760" w:hanging="360"/>
      </w:pPr>
      <w:rPr>
        <w:rFonts w:ascii="Courier New" w:hAnsi="Courier New" w:cs="Courier New" w:hint="default"/>
      </w:rPr>
    </w:lvl>
    <w:lvl w:ilvl="8" w:tplc="42066434" w:tentative="1">
      <w:start w:val="1"/>
      <w:numFmt w:val="bullet"/>
      <w:lvlText w:val=""/>
      <w:lvlJc w:val="left"/>
      <w:pPr>
        <w:ind w:left="6480" w:hanging="360"/>
      </w:pPr>
      <w:rPr>
        <w:rFonts w:ascii="Wingdings" w:hAnsi="Wingdings" w:hint="default"/>
      </w:rPr>
    </w:lvl>
  </w:abstractNum>
  <w:abstractNum w:abstractNumId="2" w15:restartNumberingAfterBreak="0">
    <w:nsid w:val="6A1F7B29"/>
    <w:multiLevelType w:val="hybridMultilevel"/>
    <w:tmpl w:val="5640448A"/>
    <w:lvl w:ilvl="0" w:tplc="0F885B1E">
      <w:start w:val="1"/>
      <w:numFmt w:val="bullet"/>
      <w:lvlText w:val=""/>
      <w:lvlJc w:val="left"/>
      <w:pPr>
        <w:tabs>
          <w:tab w:val="num" w:pos="720"/>
        </w:tabs>
        <w:ind w:left="720" w:hanging="360"/>
      </w:pPr>
      <w:rPr>
        <w:rFonts w:ascii="Symbol" w:hAnsi="Symbol" w:hint="default"/>
      </w:rPr>
    </w:lvl>
    <w:lvl w:ilvl="1" w:tplc="1A2C51B4" w:tentative="1">
      <w:start w:val="1"/>
      <w:numFmt w:val="bullet"/>
      <w:lvlText w:val="o"/>
      <w:lvlJc w:val="left"/>
      <w:pPr>
        <w:ind w:left="1440" w:hanging="360"/>
      </w:pPr>
      <w:rPr>
        <w:rFonts w:ascii="Courier New" w:hAnsi="Courier New" w:cs="Courier New" w:hint="default"/>
      </w:rPr>
    </w:lvl>
    <w:lvl w:ilvl="2" w:tplc="E84C27C2" w:tentative="1">
      <w:start w:val="1"/>
      <w:numFmt w:val="bullet"/>
      <w:lvlText w:val=""/>
      <w:lvlJc w:val="left"/>
      <w:pPr>
        <w:ind w:left="2160" w:hanging="360"/>
      </w:pPr>
      <w:rPr>
        <w:rFonts w:ascii="Wingdings" w:hAnsi="Wingdings" w:hint="default"/>
      </w:rPr>
    </w:lvl>
    <w:lvl w:ilvl="3" w:tplc="BCCC8C66" w:tentative="1">
      <w:start w:val="1"/>
      <w:numFmt w:val="bullet"/>
      <w:lvlText w:val=""/>
      <w:lvlJc w:val="left"/>
      <w:pPr>
        <w:ind w:left="2880" w:hanging="360"/>
      </w:pPr>
      <w:rPr>
        <w:rFonts w:ascii="Symbol" w:hAnsi="Symbol" w:hint="default"/>
      </w:rPr>
    </w:lvl>
    <w:lvl w:ilvl="4" w:tplc="9EBE6242" w:tentative="1">
      <w:start w:val="1"/>
      <w:numFmt w:val="bullet"/>
      <w:lvlText w:val="o"/>
      <w:lvlJc w:val="left"/>
      <w:pPr>
        <w:ind w:left="3600" w:hanging="360"/>
      </w:pPr>
      <w:rPr>
        <w:rFonts w:ascii="Courier New" w:hAnsi="Courier New" w:cs="Courier New" w:hint="default"/>
      </w:rPr>
    </w:lvl>
    <w:lvl w:ilvl="5" w:tplc="0408FE90" w:tentative="1">
      <w:start w:val="1"/>
      <w:numFmt w:val="bullet"/>
      <w:lvlText w:val=""/>
      <w:lvlJc w:val="left"/>
      <w:pPr>
        <w:ind w:left="4320" w:hanging="360"/>
      </w:pPr>
      <w:rPr>
        <w:rFonts w:ascii="Wingdings" w:hAnsi="Wingdings" w:hint="default"/>
      </w:rPr>
    </w:lvl>
    <w:lvl w:ilvl="6" w:tplc="852A1C20" w:tentative="1">
      <w:start w:val="1"/>
      <w:numFmt w:val="bullet"/>
      <w:lvlText w:val=""/>
      <w:lvlJc w:val="left"/>
      <w:pPr>
        <w:ind w:left="5040" w:hanging="360"/>
      </w:pPr>
      <w:rPr>
        <w:rFonts w:ascii="Symbol" w:hAnsi="Symbol" w:hint="default"/>
      </w:rPr>
    </w:lvl>
    <w:lvl w:ilvl="7" w:tplc="7BEC69A6" w:tentative="1">
      <w:start w:val="1"/>
      <w:numFmt w:val="bullet"/>
      <w:lvlText w:val="o"/>
      <w:lvlJc w:val="left"/>
      <w:pPr>
        <w:ind w:left="5760" w:hanging="360"/>
      </w:pPr>
      <w:rPr>
        <w:rFonts w:ascii="Courier New" w:hAnsi="Courier New" w:cs="Courier New" w:hint="default"/>
      </w:rPr>
    </w:lvl>
    <w:lvl w:ilvl="8" w:tplc="A516ABE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89"/>
    <w:rsid w:val="000D7D34"/>
    <w:rsid w:val="0025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59FA86-5362-4C0E-B982-5603109E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10446"/>
    <w:rPr>
      <w:sz w:val="16"/>
      <w:szCs w:val="16"/>
    </w:rPr>
  </w:style>
  <w:style w:type="paragraph" w:styleId="CommentText">
    <w:name w:val="annotation text"/>
    <w:basedOn w:val="Normal"/>
    <w:link w:val="CommentTextChar"/>
    <w:semiHidden/>
    <w:unhideWhenUsed/>
    <w:rsid w:val="00110446"/>
    <w:rPr>
      <w:sz w:val="20"/>
      <w:szCs w:val="20"/>
    </w:rPr>
  </w:style>
  <w:style w:type="character" w:customStyle="1" w:styleId="CommentTextChar">
    <w:name w:val="Comment Text Char"/>
    <w:basedOn w:val="DefaultParagraphFont"/>
    <w:link w:val="CommentText"/>
    <w:semiHidden/>
    <w:rsid w:val="00110446"/>
  </w:style>
  <w:style w:type="paragraph" w:styleId="CommentSubject">
    <w:name w:val="annotation subject"/>
    <w:basedOn w:val="CommentText"/>
    <w:next w:val="CommentText"/>
    <w:link w:val="CommentSubjectChar"/>
    <w:semiHidden/>
    <w:unhideWhenUsed/>
    <w:rsid w:val="00110446"/>
    <w:rPr>
      <w:b/>
      <w:bCs/>
    </w:rPr>
  </w:style>
  <w:style w:type="character" w:customStyle="1" w:styleId="CommentSubjectChar">
    <w:name w:val="Comment Subject Char"/>
    <w:basedOn w:val="CommentTextChar"/>
    <w:link w:val="CommentSubject"/>
    <w:semiHidden/>
    <w:rsid w:val="00110446"/>
    <w:rPr>
      <w:b/>
      <w:bCs/>
    </w:rPr>
  </w:style>
  <w:style w:type="paragraph" w:styleId="ListParagraph">
    <w:name w:val="List Paragraph"/>
    <w:basedOn w:val="Normal"/>
    <w:uiPriority w:val="34"/>
    <w:qFormat/>
    <w:rsid w:val="00C07B4A"/>
    <w:pPr>
      <w:ind w:left="720"/>
      <w:contextualSpacing/>
    </w:pPr>
  </w:style>
  <w:style w:type="paragraph" w:styleId="Revision">
    <w:name w:val="Revision"/>
    <w:hidden/>
    <w:uiPriority w:val="99"/>
    <w:semiHidden/>
    <w:rsid w:val="007D02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11166</Characters>
  <Application>Microsoft Office Word</Application>
  <DocSecurity>4</DocSecurity>
  <Lines>201</Lines>
  <Paragraphs>43</Paragraphs>
  <ScaleCrop>false</ScaleCrop>
  <HeadingPairs>
    <vt:vector size="2" baseType="variant">
      <vt:variant>
        <vt:lpstr>Title</vt:lpstr>
      </vt:variant>
      <vt:variant>
        <vt:i4>1</vt:i4>
      </vt:variant>
    </vt:vector>
  </HeadingPairs>
  <TitlesOfParts>
    <vt:vector size="1" baseType="lpstr">
      <vt:lpstr>BA - HB00363 (Committee Report (Substituted))</vt:lpstr>
    </vt:vector>
  </TitlesOfParts>
  <Company>State of Texas</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27761</dc:subject>
  <dc:creator>State of Texas</dc:creator>
  <dc:description>HB 363 by Johnson, Jarvis-(H)Corrections (Substitute Document Number: 86R 14912)</dc:description>
  <cp:lastModifiedBy>Stacey Nicchio</cp:lastModifiedBy>
  <cp:revision>2</cp:revision>
  <cp:lastPrinted>2019-04-16T21:46:00Z</cp:lastPrinted>
  <dcterms:created xsi:type="dcterms:W3CDTF">2019-04-23T22:17:00Z</dcterms:created>
  <dcterms:modified xsi:type="dcterms:W3CDTF">2019-04-23T22:17:00Z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19.106.1849</vt:lpwstr>
  </property>
</Properties>
</file>