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3C" w:rsidRDefault="009612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1E9116E4834BE39B5812C2D01A5800"/>
          </w:placeholder>
        </w:sdtPr>
        <w:sdtContent>
          <w:r w:rsidRPr="005C2A78">
            <w:rPr>
              <w:rFonts w:cs="Times New Roman"/>
              <w:b/>
              <w:szCs w:val="24"/>
              <w:u w:val="single"/>
            </w:rPr>
            <w:t>BILL ANALYSIS</w:t>
          </w:r>
        </w:sdtContent>
      </w:sdt>
    </w:p>
    <w:p w:rsidR="0096123C" w:rsidRPr="00585C31" w:rsidRDefault="0096123C" w:rsidP="000F1DF9">
      <w:pPr>
        <w:spacing w:after="0" w:line="240" w:lineRule="auto"/>
        <w:rPr>
          <w:rFonts w:cs="Times New Roman"/>
          <w:szCs w:val="24"/>
        </w:rPr>
      </w:pPr>
    </w:p>
    <w:p w:rsidR="0096123C" w:rsidRPr="00585C31" w:rsidRDefault="009612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123C" w:rsidTr="000F1DF9">
        <w:tc>
          <w:tcPr>
            <w:tcW w:w="2718" w:type="dxa"/>
          </w:tcPr>
          <w:p w:rsidR="0096123C" w:rsidRPr="005C2A78" w:rsidRDefault="0096123C" w:rsidP="006D756B">
            <w:pPr>
              <w:rPr>
                <w:rFonts w:cs="Times New Roman"/>
                <w:szCs w:val="24"/>
              </w:rPr>
            </w:pPr>
            <w:sdt>
              <w:sdtPr>
                <w:rPr>
                  <w:rFonts w:cs="Times New Roman"/>
                  <w:szCs w:val="24"/>
                </w:rPr>
                <w:alias w:val="Agency Title"/>
                <w:tag w:val="AgencyTitleContentControl"/>
                <w:id w:val="1920747753"/>
                <w:lock w:val="sdtContentLocked"/>
                <w:placeholder>
                  <w:docPart w:val="AA51805DA98445989F534D4C6C8D0796"/>
                </w:placeholder>
              </w:sdtPr>
              <w:sdtEndPr>
                <w:rPr>
                  <w:rFonts w:cstheme="minorBidi"/>
                  <w:szCs w:val="22"/>
                </w:rPr>
              </w:sdtEndPr>
              <w:sdtContent>
                <w:r>
                  <w:rPr>
                    <w:rFonts w:cs="Times New Roman"/>
                    <w:szCs w:val="24"/>
                  </w:rPr>
                  <w:t>Senate Research Center</w:t>
                </w:r>
              </w:sdtContent>
            </w:sdt>
          </w:p>
        </w:tc>
        <w:tc>
          <w:tcPr>
            <w:tcW w:w="6858" w:type="dxa"/>
          </w:tcPr>
          <w:p w:rsidR="0096123C" w:rsidRPr="00FF6471" w:rsidRDefault="0096123C" w:rsidP="000F1DF9">
            <w:pPr>
              <w:jc w:val="right"/>
              <w:rPr>
                <w:rFonts w:cs="Times New Roman"/>
                <w:szCs w:val="24"/>
              </w:rPr>
            </w:pPr>
            <w:sdt>
              <w:sdtPr>
                <w:rPr>
                  <w:rFonts w:cs="Times New Roman"/>
                  <w:szCs w:val="24"/>
                </w:rPr>
                <w:alias w:val="Bill Number"/>
                <w:tag w:val="BillNumberOne"/>
                <w:id w:val="-410784069"/>
                <w:lock w:val="sdtContentLocked"/>
                <w:placeholder>
                  <w:docPart w:val="8A980577423C41709C2BB4592724B0C2"/>
                </w:placeholder>
              </w:sdtPr>
              <w:sdtContent>
                <w:r>
                  <w:rPr>
                    <w:rFonts w:cs="Times New Roman"/>
                    <w:szCs w:val="24"/>
                  </w:rPr>
                  <w:t>H.B. 369</w:t>
                </w:r>
              </w:sdtContent>
            </w:sdt>
          </w:p>
        </w:tc>
      </w:tr>
      <w:tr w:rsidR="0096123C" w:rsidTr="000F1DF9">
        <w:sdt>
          <w:sdtPr>
            <w:rPr>
              <w:rFonts w:cs="Times New Roman"/>
              <w:szCs w:val="24"/>
            </w:rPr>
            <w:alias w:val="TLCNumber"/>
            <w:tag w:val="TLCNumber"/>
            <w:id w:val="-542600604"/>
            <w:lock w:val="sdtLocked"/>
            <w:placeholder>
              <w:docPart w:val="383EE567DB6B41FA8721B848174AB03B"/>
            </w:placeholder>
          </w:sdtPr>
          <w:sdtContent>
            <w:tc>
              <w:tcPr>
                <w:tcW w:w="2718" w:type="dxa"/>
              </w:tcPr>
              <w:p w:rsidR="0096123C" w:rsidRPr="000F1DF9" w:rsidRDefault="0096123C" w:rsidP="00C65088">
                <w:pPr>
                  <w:rPr>
                    <w:rFonts w:cs="Times New Roman"/>
                    <w:szCs w:val="24"/>
                  </w:rPr>
                </w:pPr>
                <w:r>
                  <w:rPr>
                    <w:rFonts w:cs="Times New Roman"/>
                    <w:szCs w:val="24"/>
                  </w:rPr>
                  <w:t>86R1396 KJE-F</w:t>
                </w:r>
              </w:p>
            </w:tc>
          </w:sdtContent>
        </w:sdt>
        <w:tc>
          <w:tcPr>
            <w:tcW w:w="6858" w:type="dxa"/>
          </w:tcPr>
          <w:p w:rsidR="0096123C" w:rsidRPr="005C2A78" w:rsidRDefault="0096123C" w:rsidP="006D756B">
            <w:pPr>
              <w:jc w:val="right"/>
              <w:rPr>
                <w:rFonts w:cs="Times New Roman"/>
                <w:szCs w:val="24"/>
              </w:rPr>
            </w:pPr>
            <w:sdt>
              <w:sdtPr>
                <w:rPr>
                  <w:rFonts w:cs="Times New Roman"/>
                  <w:szCs w:val="24"/>
                </w:rPr>
                <w:alias w:val="Author Label"/>
                <w:tag w:val="By"/>
                <w:id w:val="72399597"/>
                <w:lock w:val="sdtLocked"/>
                <w:placeholder>
                  <w:docPart w:val="736C92B1B1C24FA18FD406D8DA8824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B66EAE841C448D9A7C5FA931EBA684"/>
                </w:placeholder>
              </w:sdtPr>
              <w:sdtContent>
                <w:r>
                  <w:rPr>
                    <w:rFonts w:cs="Times New Roman"/>
                    <w:szCs w:val="24"/>
                  </w:rPr>
                  <w:t>Cain et al.</w:t>
                </w:r>
              </w:sdtContent>
            </w:sdt>
            <w:sdt>
              <w:sdtPr>
                <w:rPr>
                  <w:rFonts w:cs="Times New Roman"/>
                  <w:szCs w:val="24"/>
                </w:rPr>
                <w:alias w:val="Sponsor"/>
                <w:tag w:val="Sponsor"/>
                <w:id w:val="-2039656131"/>
                <w:lock w:val="sdtContentLocked"/>
                <w:placeholder>
                  <w:docPart w:val="4096678FEDB3492392D193E211391C4E"/>
                </w:placeholder>
              </w:sdtPr>
              <w:sdtContent>
                <w:r>
                  <w:rPr>
                    <w:rFonts w:cs="Times New Roman"/>
                    <w:szCs w:val="24"/>
                  </w:rPr>
                  <w:t xml:space="preserve"> (Huffman)</w:t>
                </w:r>
              </w:sdtContent>
            </w:sdt>
          </w:p>
        </w:tc>
      </w:tr>
      <w:tr w:rsidR="0096123C" w:rsidTr="000F1DF9">
        <w:tc>
          <w:tcPr>
            <w:tcW w:w="2718" w:type="dxa"/>
          </w:tcPr>
          <w:p w:rsidR="0096123C" w:rsidRPr="00BC7495" w:rsidRDefault="0096123C" w:rsidP="000F1DF9">
            <w:pPr>
              <w:rPr>
                <w:rFonts w:cs="Times New Roman"/>
                <w:szCs w:val="24"/>
              </w:rPr>
            </w:pPr>
          </w:p>
        </w:tc>
        <w:sdt>
          <w:sdtPr>
            <w:rPr>
              <w:rFonts w:cs="Times New Roman"/>
              <w:szCs w:val="24"/>
            </w:rPr>
            <w:alias w:val="Committee"/>
            <w:tag w:val="Committee"/>
            <w:id w:val="1914272295"/>
            <w:lock w:val="sdtContentLocked"/>
            <w:placeholder>
              <w:docPart w:val="CD7F5BC5C0BA4C8FAFECD50AE71EC074"/>
            </w:placeholder>
          </w:sdtPr>
          <w:sdtContent>
            <w:tc>
              <w:tcPr>
                <w:tcW w:w="6858" w:type="dxa"/>
              </w:tcPr>
              <w:p w:rsidR="0096123C" w:rsidRPr="00FF6471" w:rsidRDefault="0096123C" w:rsidP="000F1DF9">
                <w:pPr>
                  <w:jc w:val="right"/>
                  <w:rPr>
                    <w:rFonts w:cs="Times New Roman"/>
                    <w:szCs w:val="24"/>
                  </w:rPr>
                </w:pPr>
                <w:r>
                  <w:rPr>
                    <w:rFonts w:cs="Times New Roman"/>
                    <w:szCs w:val="24"/>
                  </w:rPr>
                  <w:t>State Affairs</w:t>
                </w:r>
              </w:p>
            </w:tc>
          </w:sdtContent>
        </w:sdt>
      </w:tr>
      <w:tr w:rsidR="0096123C" w:rsidTr="000F1DF9">
        <w:tc>
          <w:tcPr>
            <w:tcW w:w="2718" w:type="dxa"/>
          </w:tcPr>
          <w:p w:rsidR="0096123C" w:rsidRPr="00BC7495" w:rsidRDefault="0096123C" w:rsidP="000F1DF9">
            <w:pPr>
              <w:rPr>
                <w:rFonts w:cs="Times New Roman"/>
                <w:szCs w:val="24"/>
              </w:rPr>
            </w:pPr>
          </w:p>
        </w:tc>
        <w:sdt>
          <w:sdtPr>
            <w:rPr>
              <w:rFonts w:cs="Times New Roman"/>
              <w:szCs w:val="24"/>
            </w:rPr>
            <w:alias w:val="Date"/>
            <w:tag w:val="DateContentControl"/>
            <w:id w:val="1178081906"/>
            <w:lock w:val="sdtLocked"/>
            <w:placeholder>
              <w:docPart w:val="48D986E082E14B8D97A68733E2BCFCB1"/>
            </w:placeholder>
            <w:date w:fullDate="2019-05-10T00:00:00Z">
              <w:dateFormat w:val="M/d/yyyy"/>
              <w:lid w:val="en-US"/>
              <w:storeMappedDataAs w:val="dateTime"/>
              <w:calendar w:val="gregorian"/>
            </w:date>
          </w:sdtPr>
          <w:sdtContent>
            <w:tc>
              <w:tcPr>
                <w:tcW w:w="6858" w:type="dxa"/>
              </w:tcPr>
              <w:p w:rsidR="0096123C" w:rsidRPr="00FF6471" w:rsidRDefault="0096123C" w:rsidP="000F1DF9">
                <w:pPr>
                  <w:jc w:val="right"/>
                  <w:rPr>
                    <w:rFonts w:cs="Times New Roman"/>
                    <w:szCs w:val="24"/>
                  </w:rPr>
                </w:pPr>
                <w:r>
                  <w:rPr>
                    <w:rFonts w:cs="Times New Roman"/>
                    <w:szCs w:val="24"/>
                  </w:rPr>
                  <w:t>5/10/2019</w:t>
                </w:r>
              </w:p>
            </w:tc>
          </w:sdtContent>
        </w:sdt>
      </w:tr>
      <w:tr w:rsidR="0096123C" w:rsidTr="000F1DF9">
        <w:tc>
          <w:tcPr>
            <w:tcW w:w="2718" w:type="dxa"/>
          </w:tcPr>
          <w:p w:rsidR="0096123C" w:rsidRPr="00BC7495" w:rsidRDefault="0096123C" w:rsidP="000F1DF9">
            <w:pPr>
              <w:rPr>
                <w:rFonts w:cs="Times New Roman"/>
                <w:szCs w:val="24"/>
              </w:rPr>
            </w:pPr>
          </w:p>
        </w:tc>
        <w:sdt>
          <w:sdtPr>
            <w:rPr>
              <w:rFonts w:cs="Times New Roman"/>
              <w:szCs w:val="24"/>
            </w:rPr>
            <w:alias w:val="BA Version"/>
            <w:tag w:val="BAVersion"/>
            <w:id w:val="-1685590809"/>
            <w:lock w:val="sdtContentLocked"/>
            <w:placeholder>
              <w:docPart w:val="81F47F8FBBE84F27BB86B08F67C11CF1"/>
            </w:placeholder>
          </w:sdtPr>
          <w:sdtContent>
            <w:tc>
              <w:tcPr>
                <w:tcW w:w="6858" w:type="dxa"/>
              </w:tcPr>
              <w:p w:rsidR="0096123C" w:rsidRPr="00FF6471" w:rsidRDefault="0096123C" w:rsidP="000F1DF9">
                <w:pPr>
                  <w:jc w:val="right"/>
                  <w:rPr>
                    <w:rFonts w:cs="Times New Roman"/>
                    <w:szCs w:val="24"/>
                  </w:rPr>
                </w:pPr>
                <w:r>
                  <w:rPr>
                    <w:rFonts w:cs="Times New Roman"/>
                    <w:szCs w:val="24"/>
                  </w:rPr>
                  <w:t>Engrossed</w:t>
                </w:r>
              </w:p>
            </w:tc>
          </w:sdtContent>
        </w:sdt>
      </w:tr>
    </w:tbl>
    <w:p w:rsidR="0096123C" w:rsidRPr="00FF6471" w:rsidRDefault="0096123C" w:rsidP="000F1DF9">
      <w:pPr>
        <w:spacing w:after="0" w:line="240" w:lineRule="auto"/>
        <w:rPr>
          <w:rFonts w:cs="Times New Roman"/>
          <w:szCs w:val="24"/>
        </w:rPr>
      </w:pPr>
    </w:p>
    <w:p w:rsidR="0096123C" w:rsidRPr="00FF6471" w:rsidRDefault="0096123C" w:rsidP="000F1DF9">
      <w:pPr>
        <w:spacing w:after="0" w:line="240" w:lineRule="auto"/>
        <w:rPr>
          <w:rFonts w:cs="Times New Roman"/>
          <w:szCs w:val="24"/>
        </w:rPr>
      </w:pPr>
    </w:p>
    <w:p w:rsidR="0096123C" w:rsidRPr="00FF6471" w:rsidRDefault="009612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CA8B413B144394AB5849B604371750"/>
        </w:placeholder>
      </w:sdtPr>
      <w:sdtContent>
        <w:p w:rsidR="0096123C" w:rsidRDefault="009612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AA88C33D79A4439B9164F99C2F9B6DD"/>
        </w:placeholder>
      </w:sdtPr>
      <w:sdtEndPr/>
      <w:sdtContent>
        <w:p w:rsidR="0096123C" w:rsidRDefault="0096123C" w:rsidP="0096123C">
          <w:pPr>
            <w:pStyle w:val="NormalWeb"/>
            <w:spacing w:before="0" w:beforeAutospacing="0" w:after="0" w:afterAutospacing="0"/>
            <w:jc w:val="both"/>
            <w:divId w:val="1441530226"/>
            <w:rPr>
              <w:rFonts w:eastAsia="Times New Roman"/>
              <w:bCs/>
            </w:rPr>
          </w:pPr>
        </w:p>
        <w:p w:rsidR="0096123C" w:rsidRPr="0096123C" w:rsidRDefault="0096123C" w:rsidP="0096123C">
          <w:pPr>
            <w:pStyle w:val="NormalWeb"/>
            <w:spacing w:before="0" w:beforeAutospacing="0" w:after="0" w:afterAutospacing="0"/>
            <w:jc w:val="both"/>
            <w:divId w:val="1441530226"/>
            <w:rPr>
              <w:color w:val="000000"/>
            </w:rPr>
          </w:pPr>
          <w:r w:rsidRPr="0096123C">
            <w:rPr>
              <w:color w:val="000000"/>
            </w:rPr>
            <w:t>It has been suggested that changes are needed to the law relating to jurisdiction in a suit for the adoption of a child and to the transfer of venue in such suits to provide for proper compliance with certain requirements. H.B. 369 seeks to address this issue by requiring a court with continuing and exclusive jurisdiction of a suit affecting the parent-child relationship with respect to a child for whom adoption is sought to transfer the suit to the county in which the child resides.</w:t>
          </w:r>
        </w:p>
        <w:p w:rsidR="0096123C" w:rsidRPr="00D70925" w:rsidRDefault="0096123C" w:rsidP="0096123C">
          <w:pPr>
            <w:spacing w:after="0" w:line="240" w:lineRule="auto"/>
            <w:jc w:val="both"/>
            <w:rPr>
              <w:rFonts w:eastAsia="Times New Roman" w:cs="Times New Roman"/>
              <w:bCs/>
              <w:szCs w:val="24"/>
            </w:rPr>
          </w:pPr>
        </w:p>
      </w:sdtContent>
    </w:sdt>
    <w:p w:rsidR="0096123C" w:rsidRDefault="009612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369 </w:t>
      </w:r>
      <w:bookmarkStart w:id="1" w:name="AmendsCurrentLaw"/>
      <w:bookmarkEnd w:id="1"/>
      <w:r>
        <w:rPr>
          <w:rFonts w:cs="Times New Roman"/>
          <w:szCs w:val="24"/>
        </w:rPr>
        <w:t>amends current law relating to jurisdiction in a suit for adoption of a child and the mandatory transfer of certain suits affecting the parent-child relationship to the court in which a suit for adoption is pending.</w:t>
      </w:r>
    </w:p>
    <w:p w:rsidR="0096123C" w:rsidRPr="009B6AB6" w:rsidRDefault="0096123C" w:rsidP="000F1DF9">
      <w:pPr>
        <w:spacing w:after="0" w:line="240" w:lineRule="auto"/>
        <w:jc w:val="both"/>
        <w:rPr>
          <w:rFonts w:eastAsia="Times New Roman" w:cs="Times New Roman"/>
          <w:szCs w:val="24"/>
        </w:rPr>
      </w:pPr>
    </w:p>
    <w:p w:rsidR="0096123C" w:rsidRPr="005C2A78" w:rsidRDefault="009612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DDBB27B8A44F8DB3E2825C5727D55D"/>
          </w:placeholder>
        </w:sdtPr>
        <w:sdtContent>
          <w:r>
            <w:rPr>
              <w:rFonts w:eastAsia="Times New Roman" w:cs="Times New Roman"/>
              <w:b/>
              <w:szCs w:val="24"/>
              <w:u w:val="single"/>
            </w:rPr>
            <w:t>RULEMAKING AUTHORITY</w:t>
          </w:r>
        </w:sdtContent>
      </w:sdt>
    </w:p>
    <w:p w:rsidR="0096123C" w:rsidRPr="006529C4" w:rsidRDefault="0096123C" w:rsidP="00774EC7">
      <w:pPr>
        <w:spacing w:after="0" w:line="240" w:lineRule="auto"/>
        <w:jc w:val="both"/>
        <w:rPr>
          <w:rFonts w:cs="Times New Roman"/>
          <w:szCs w:val="24"/>
        </w:rPr>
      </w:pPr>
    </w:p>
    <w:p w:rsidR="0096123C" w:rsidRPr="006529C4" w:rsidRDefault="009612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123C" w:rsidRPr="006529C4" w:rsidRDefault="0096123C" w:rsidP="00774EC7">
      <w:pPr>
        <w:spacing w:after="0" w:line="240" w:lineRule="auto"/>
        <w:jc w:val="both"/>
        <w:rPr>
          <w:rFonts w:cs="Times New Roman"/>
          <w:szCs w:val="24"/>
        </w:rPr>
      </w:pPr>
    </w:p>
    <w:p w:rsidR="0096123C" w:rsidRPr="005C2A78" w:rsidRDefault="009612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726D245E0145E68DE8A9DD52FED254"/>
          </w:placeholder>
        </w:sdtPr>
        <w:sdtContent>
          <w:r>
            <w:rPr>
              <w:rFonts w:eastAsia="Times New Roman" w:cs="Times New Roman"/>
              <w:b/>
              <w:szCs w:val="24"/>
              <w:u w:val="single"/>
            </w:rPr>
            <w:t>SECTION BY SECTION ANALYSIS</w:t>
          </w:r>
        </w:sdtContent>
      </w:sdt>
    </w:p>
    <w:p w:rsidR="0096123C" w:rsidRPr="005C2A78" w:rsidRDefault="0096123C" w:rsidP="000F1DF9">
      <w:pPr>
        <w:spacing w:after="0" w:line="240" w:lineRule="auto"/>
        <w:jc w:val="both"/>
        <w:rPr>
          <w:rFonts w:eastAsia="Times New Roman" w:cs="Times New Roman"/>
          <w:szCs w:val="24"/>
        </w:rPr>
      </w:pPr>
    </w:p>
    <w:p w:rsidR="0096123C" w:rsidRPr="005C2A78" w:rsidRDefault="0096123C" w:rsidP="007C6AF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102.008(b), Family Code, to require a petition, in a suit in which adoption of a child is requested, to state that the court in which the petition is filed has jurisdiction of the suit under Section 103.001(b) and to make certain nonsubstantive changes to this subsection.</w:t>
      </w:r>
    </w:p>
    <w:p w:rsidR="0096123C" w:rsidRPr="005C2A78" w:rsidRDefault="0096123C" w:rsidP="007C6AF2">
      <w:pPr>
        <w:spacing w:after="0" w:line="240" w:lineRule="auto"/>
        <w:jc w:val="both"/>
        <w:rPr>
          <w:rFonts w:eastAsia="Times New Roman" w:cs="Times New Roman"/>
          <w:szCs w:val="24"/>
        </w:rPr>
      </w:pPr>
    </w:p>
    <w:p w:rsidR="0096123C" w:rsidRPr="005C2A78" w:rsidRDefault="0096123C" w:rsidP="007C6AF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103.001(b), Family Code, to provide an exception under Section 155.201 (Mandatory Transfer) to the provision providing that a court that has continuing exclusive jurisdiction is not required to transfer the suit affecting the parent-child relationship to the court in which the adoption suit is filed.</w:t>
      </w:r>
    </w:p>
    <w:p w:rsidR="0096123C" w:rsidRPr="005C2A78" w:rsidRDefault="0096123C" w:rsidP="007C6AF2">
      <w:pPr>
        <w:spacing w:after="0" w:line="240" w:lineRule="auto"/>
        <w:jc w:val="both"/>
        <w:rPr>
          <w:rFonts w:eastAsia="Times New Roman" w:cs="Times New Roman"/>
          <w:szCs w:val="24"/>
        </w:rPr>
      </w:pPr>
    </w:p>
    <w:p w:rsidR="0096123C" w:rsidRDefault="0096123C" w:rsidP="007C6AF2">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155.201, Family Code, by amending Subsection (a) and adding Subsections (a-1) and (a-2), as follows:</w:t>
      </w:r>
    </w:p>
    <w:p w:rsidR="0096123C" w:rsidRDefault="0096123C" w:rsidP="007C6AF2">
      <w:pPr>
        <w:spacing w:after="0" w:line="240" w:lineRule="auto"/>
        <w:jc w:val="both"/>
      </w:pPr>
    </w:p>
    <w:p w:rsidR="0096123C" w:rsidRDefault="0096123C" w:rsidP="007C6AF2">
      <w:pPr>
        <w:spacing w:after="0" w:line="240" w:lineRule="auto"/>
        <w:ind w:left="720"/>
        <w:jc w:val="both"/>
      </w:pPr>
      <w:r>
        <w:t>(a) Creates Subsection (a-2) from existing text of this subsection and makes no further changes to this subsection.</w:t>
      </w:r>
    </w:p>
    <w:p w:rsidR="0096123C" w:rsidRDefault="0096123C" w:rsidP="007C6AF2">
      <w:pPr>
        <w:spacing w:after="0" w:line="240" w:lineRule="auto"/>
        <w:ind w:left="720"/>
        <w:jc w:val="both"/>
      </w:pPr>
    </w:p>
    <w:p w:rsidR="0096123C" w:rsidRDefault="0096123C" w:rsidP="007C6AF2">
      <w:pPr>
        <w:spacing w:after="0" w:line="240" w:lineRule="auto"/>
        <w:ind w:left="720"/>
        <w:jc w:val="both"/>
      </w:pPr>
      <w:r>
        <w:t>(a-1) Requires the court having continuing, exclusive jurisdiction of a suit affecting the parent-child relationship with regard to a child, on the filing of a motion showing that a suit in which adoption of the child is requested has been filed in another court located in the county in which the child resides as provided by Section 103.001 (Venue For Original Suit) and requesting a transfer to that court, to, within the time required by Section 155.204 (Procedure For Transfer), transfer the proceedings to the court in which the suit for adoption is pending.</w:t>
      </w:r>
    </w:p>
    <w:p w:rsidR="0096123C" w:rsidRDefault="0096123C" w:rsidP="007C6AF2">
      <w:pPr>
        <w:spacing w:after="0" w:line="240" w:lineRule="auto"/>
        <w:ind w:left="720"/>
        <w:jc w:val="both"/>
      </w:pPr>
    </w:p>
    <w:p w:rsidR="0096123C" w:rsidRDefault="0096123C" w:rsidP="007C6AF2">
      <w:pPr>
        <w:spacing w:after="0" w:line="240" w:lineRule="auto"/>
        <w:ind w:left="720"/>
        <w:jc w:val="both"/>
      </w:pPr>
      <w:r>
        <w:t>(a-2) Requires a motion described by Subsection (a) or (a-1), rather than the motion, to comply with the requirements of Section 155.204(a).</w:t>
      </w:r>
    </w:p>
    <w:p w:rsidR="0096123C" w:rsidRDefault="0096123C" w:rsidP="007C6AF2">
      <w:pPr>
        <w:spacing w:after="0" w:line="240" w:lineRule="auto"/>
        <w:jc w:val="both"/>
      </w:pPr>
    </w:p>
    <w:p w:rsidR="0096123C" w:rsidRDefault="0096123C" w:rsidP="007C6AF2">
      <w:pPr>
        <w:spacing w:after="0" w:line="240" w:lineRule="auto"/>
        <w:jc w:val="both"/>
      </w:pPr>
      <w:r>
        <w:t>SECTION 4. Amends Section 155.204(a), Family Code, to authorize a motion to transfer under Section 155.201(a) or (a-1), rather than a motion to transfer under Section 155.201(a), to be filed at any time.</w:t>
      </w:r>
    </w:p>
    <w:p w:rsidR="0096123C" w:rsidRDefault="0096123C" w:rsidP="007C6AF2">
      <w:pPr>
        <w:spacing w:after="0" w:line="240" w:lineRule="auto"/>
        <w:jc w:val="both"/>
      </w:pPr>
    </w:p>
    <w:p w:rsidR="0096123C" w:rsidRDefault="0096123C" w:rsidP="007C6AF2">
      <w:pPr>
        <w:spacing w:after="0" w:line="240" w:lineRule="auto"/>
        <w:jc w:val="both"/>
      </w:pPr>
      <w:r>
        <w:t>SECTION 5. Makes application of Section 102.008(b), Family Code, as amended by this Act, prospective.</w:t>
      </w:r>
    </w:p>
    <w:p w:rsidR="0096123C" w:rsidRDefault="0096123C" w:rsidP="007C6AF2">
      <w:pPr>
        <w:spacing w:after="0" w:line="240" w:lineRule="auto"/>
        <w:jc w:val="both"/>
      </w:pPr>
    </w:p>
    <w:p w:rsidR="0096123C" w:rsidRDefault="0096123C" w:rsidP="007C6AF2">
      <w:pPr>
        <w:spacing w:after="0" w:line="240" w:lineRule="auto"/>
        <w:jc w:val="both"/>
      </w:pPr>
      <w:r>
        <w:t>SECTION 6. Makes application of Sections 103.001, 155.201, and 155.204, Family Code, as amended by this Act, prospective.</w:t>
      </w:r>
    </w:p>
    <w:p w:rsidR="0096123C" w:rsidRDefault="0096123C" w:rsidP="007C6AF2">
      <w:pPr>
        <w:spacing w:after="0" w:line="240" w:lineRule="auto"/>
        <w:jc w:val="both"/>
      </w:pPr>
    </w:p>
    <w:p w:rsidR="0096123C" w:rsidRPr="00C8671F" w:rsidRDefault="0096123C" w:rsidP="007C6AF2">
      <w:pPr>
        <w:spacing w:after="0" w:line="240" w:lineRule="auto"/>
        <w:jc w:val="both"/>
        <w:rPr>
          <w:rFonts w:eastAsia="Times New Roman" w:cs="Times New Roman"/>
          <w:szCs w:val="24"/>
        </w:rPr>
      </w:pPr>
      <w:r>
        <w:t>SECTION 7. Effective date: September 1, 2019.</w:t>
      </w:r>
    </w:p>
    <w:sectPr w:rsidR="0096123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DD" w:rsidRDefault="007412DD" w:rsidP="000F1DF9">
      <w:pPr>
        <w:spacing w:after="0" w:line="240" w:lineRule="auto"/>
      </w:pPr>
      <w:r>
        <w:separator/>
      </w:r>
    </w:p>
  </w:endnote>
  <w:endnote w:type="continuationSeparator" w:id="0">
    <w:p w:rsidR="007412DD" w:rsidRDefault="007412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12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123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123C">
                <w:rPr>
                  <w:sz w:val="20"/>
                  <w:szCs w:val="20"/>
                </w:rPr>
                <w:t>H.B. 369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123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12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12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123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DD" w:rsidRDefault="007412DD" w:rsidP="000F1DF9">
      <w:pPr>
        <w:spacing w:after="0" w:line="240" w:lineRule="auto"/>
      </w:pPr>
      <w:r>
        <w:separator/>
      </w:r>
    </w:p>
  </w:footnote>
  <w:footnote w:type="continuationSeparator" w:id="0">
    <w:p w:rsidR="007412DD" w:rsidRDefault="007412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12DD"/>
    <w:rsid w:val="00774EC7"/>
    <w:rsid w:val="00833061"/>
    <w:rsid w:val="008A6859"/>
    <w:rsid w:val="0093341F"/>
    <w:rsid w:val="009562E3"/>
    <w:rsid w:val="0096123C"/>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1D4C91-45B9-42C3-A2B1-3160A99A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12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5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4AC8" w:rsidP="00A14A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1E9116E4834BE39B5812C2D01A5800"/>
        <w:category>
          <w:name w:val="General"/>
          <w:gallery w:val="placeholder"/>
        </w:category>
        <w:types>
          <w:type w:val="bbPlcHdr"/>
        </w:types>
        <w:behaviors>
          <w:behavior w:val="content"/>
        </w:behaviors>
        <w:guid w:val="{0ECA9101-AA68-4D5A-9A6A-4B1FF13B3612}"/>
      </w:docPartPr>
      <w:docPartBody>
        <w:p w:rsidR="00000000" w:rsidRDefault="00CB1E79"/>
      </w:docPartBody>
    </w:docPart>
    <w:docPart>
      <w:docPartPr>
        <w:name w:val="AA51805DA98445989F534D4C6C8D0796"/>
        <w:category>
          <w:name w:val="General"/>
          <w:gallery w:val="placeholder"/>
        </w:category>
        <w:types>
          <w:type w:val="bbPlcHdr"/>
        </w:types>
        <w:behaviors>
          <w:behavior w:val="content"/>
        </w:behaviors>
        <w:guid w:val="{FA070C07-0E52-4400-AE11-5FE840BDE6E7}"/>
      </w:docPartPr>
      <w:docPartBody>
        <w:p w:rsidR="00000000" w:rsidRDefault="00CB1E79"/>
      </w:docPartBody>
    </w:docPart>
    <w:docPart>
      <w:docPartPr>
        <w:name w:val="8A980577423C41709C2BB4592724B0C2"/>
        <w:category>
          <w:name w:val="General"/>
          <w:gallery w:val="placeholder"/>
        </w:category>
        <w:types>
          <w:type w:val="bbPlcHdr"/>
        </w:types>
        <w:behaviors>
          <w:behavior w:val="content"/>
        </w:behaviors>
        <w:guid w:val="{139F1FB9-74CA-4097-A7C5-0A2F19A4C3D3}"/>
      </w:docPartPr>
      <w:docPartBody>
        <w:p w:rsidR="00000000" w:rsidRDefault="00CB1E79"/>
      </w:docPartBody>
    </w:docPart>
    <w:docPart>
      <w:docPartPr>
        <w:name w:val="383EE567DB6B41FA8721B848174AB03B"/>
        <w:category>
          <w:name w:val="General"/>
          <w:gallery w:val="placeholder"/>
        </w:category>
        <w:types>
          <w:type w:val="bbPlcHdr"/>
        </w:types>
        <w:behaviors>
          <w:behavior w:val="content"/>
        </w:behaviors>
        <w:guid w:val="{8E7B6D86-F4B7-4790-98B5-9EA5AB384035}"/>
      </w:docPartPr>
      <w:docPartBody>
        <w:p w:rsidR="00000000" w:rsidRDefault="00CB1E79"/>
      </w:docPartBody>
    </w:docPart>
    <w:docPart>
      <w:docPartPr>
        <w:name w:val="736C92B1B1C24FA18FD406D8DA8824A2"/>
        <w:category>
          <w:name w:val="General"/>
          <w:gallery w:val="placeholder"/>
        </w:category>
        <w:types>
          <w:type w:val="bbPlcHdr"/>
        </w:types>
        <w:behaviors>
          <w:behavior w:val="content"/>
        </w:behaviors>
        <w:guid w:val="{F2AF4DA3-F688-4399-99E3-2246DED1FABA}"/>
      </w:docPartPr>
      <w:docPartBody>
        <w:p w:rsidR="00000000" w:rsidRDefault="00CB1E79"/>
      </w:docPartBody>
    </w:docPart>
    <w:docPart>
      <w:docPartPr>
        <w:name w:val="20B66EAE841C448D9A7C5FA931EBA684"/>
        <w:category>
          <w:name w:val="General"/>
          <w:gallery w:val="placeholder"/>
        </w:category>
        <w:types>
          <w:type w:val="bbPlcHdr"/>
        </w:types>
        <w:behaviors>
          <w:behavior w:val="content"/>
        </w:behaviors>
        <w:guid w:val="{8D81E8BB-E9F0-4DEF-B640-570BAC53BFD0}"/>
      </w:docPartPr>
      <w:docPartBody>
        <w:p w:rsidR="00000000" w:rsidRDefault="00CB1E79"/>
      </w:docPartBody>
    </w:docPart>
    <w:docPart>
      <w:docPartPr>
        <w:name w:val="4096678FEDB3492392D193E211391C4E"/>
        <w:category>
          <w:name w:val="General"/>
          <w:gallery w:val="placeholder"/>
        </w:category>
        <w:types>
          <w:type w:val="bbPlcHdr"/>
        </w:types>
        <w:behaviors>
          <w:behavior w:val="content"/>
        </w:behaviors>
        <w:guid w:val="{29B5F48F-50D5-475F-8BFE-2671D4416E4F}"/>
      </w:docPartPr>
      <w:docPartBody>
        <w:p w:rsidR="00000000" w:rsidRDefault="00CB1E79"/>
      </w:docPartBody>
    </w:docPart>
    <w:docPart>
      <w:docPartPr>
        <w:name w:val="CD7F5BC5C0BA4C8FAFECD50AE71EC074"/>
        <w:category>
          <w:name w:val="General"/>
          <w:gallery w:val="placeholder"/>
        </w:category>
        <w:types>
          <w:type w:val="bbPlcHdr"/>
        </w:types>
        <w:behaviors>
          <w:behavior w:val="content"/>
        </w:behaviors>
        <w:guid w:val="{ED2C19B7-A8EA-4048-8D73-7C3B853AECE2}"/>
      </w:docPartPr>
      <w:docPartBody>
        <w:p w:rsidR="00000000" w:rsidRDefault="00CB1E79"/>
      </w:docPartBody>
    </w:docPart>
    <w:docPart>
      <w:docPartPr>
        <w:name w:val="48D986E082E14B8D97A68733E2BCFCB1"/>
        <w:category>
          <w:name w:val="General"/>
          <w:gallery w:val="placeholder"/>
        </w:category>
        <w:types>
          <w:type w:val="bbPlcHdr"/>
        </w:types>
        <w:behaviors>
          <w:behavior w:val="content"/>
        </w:behaviors>
        <w:guid w:val="{25B321CA-DACF-410D-99E9-454D9CE7B436}"/>
      </w:docPartPr>
      <w:docPartBody>
        <w:p w:rsidR="00000000" w:rsidRDefault="00A14AC8" w:rsidP="00A14AC8">
          <w:pPr>
            <w:pStyle w:val="48D986E082E14B8D97A68733E2BCFCB1"/>
          </w:pPr>
          <w:r w:rsidRPr="00A30DD1">
            <w:rPr>
              <w:rStyle w:val="PlaceholderText"/>
            </w:rPr>
            <w:t>Click here to enter a date.</w:t>
          </w:r>
        </w:p>
      </w:docPartBody>
    </w:docPart>
    <w:docPart>
      <w:docPartPr>
        <w:name w:val="81F47F8FBBE84F27BB86B08F67C11CF1"/>
        <w:category>
          <w:name w:val="General"/>
          <w:gallery w:val="placeholder"/>
        </w:category>
        <w:types>
          <w:type w:val="bbPlcHdr"/>
        </w:types>
        <w:behaviors>
          <w:behavior w:val="content"/>
        </w:behaviors>
        <w:guid w:val="{25BB14F6-48F7-4812-8143-FE027A456E22}"/>
      </w:docPartPr>
      <w:docPartBody>
        <w:p w:rsidR="00000000" w:rsidRDefault="00CB1E79"/>
      </w:docPartBody>
    </w:docPart>
    <w:docPart>
      <w:docPartPr>
        <w:name w:val="B6CA8B413B144394AB5849B604371750"/>
        <w:category>
          <w:name w:val="General"/>
          <w:gallery w:val="placeholder"/>
        </w:category>
        <w:types>
          <w:type w:val="bbPlcHdr"/>
        </w:types>
        <w:behaviors>
          <w:behavior w:val="content"/>
        </w:behaviors>
        <w:guid w:val="{8E01BDF6-B43B-4BD2-8FA6-C77A90D8A919}"/>
      </w:docPartPr>
      <w:docPartBody>
        <w:p w:rsidR="00000000" w:rsidRDefault="00CB1E79"/>
      </w:docPartBody>
    </w:docPart>
    <w:docPart>
      <w:docPartPr>
        <w:name w:val="0AA88C33D79A4439B9164F99C2F9B6DD"/>
        <w:category>
          <w:name w:val="General"/>
          <w:gallery w:val="placeholder"/>
        </w:category>
        <w:types>
          <w:type w:val="bbPlcHdr"/>
        </w:types>
        <w:behaviors>
          <w:behavior w:val="content"/>
        </w:behaviors>
        <w:guid w:val="{69696102-0698-45D5-8DC7-26F45F7074DF}"/>
      </w:docPartPr>
      <w:docPartBody>
        <w:p w:rsidR="00000000" w:rsidRDefault="00A14AC8" w:rsidP="00A14AC8">
          <w:pPr>
            <w:pStyle w:val="0AA88C33D79A4439B9164F99C2F9B6DD"/>
          </w:pPr>
          <w:r>
            <w:rPr>
              <w:rFonts w:eastAsia="Times New Roman" w:cs="Times New Roman"/>
              <w:bCs/>
              <w:szCs w:val="24"/>
            </w:rPr>
            <w:t xml:space="preserve"> </w:t>
          </w:r>
        </w:p>
      </w:docPartBody>
    </w:docPart>
    <w:docPart>
      <w:docPartPr>
        <w:name w:val="93DDBB27B8A44F8DB3E2825C5727D55D"/>
        <w:category>
          <w:name w:val="General"/>
          <w:gallery w:val="placeholder"/>
        </w:category>
        <w:types>
          <w:type w:val="bbPlcHdr"/>
        </w:types>
        <w:behaviors>
          <w:behavior w:val="content"/>
        </w:behaviors>
        <w:guid w:val="{5201D9CA-3BF0-4C48-BD13-02CCEA4169F3}"/>
      </w:docPartPr>
      <w:docPartBody>
        <w:p w:rsidR="00000000" w:rsidRDefault="00CB1E79"/>
      </w:docPartBody>
    </w:docPart>
    <w:docPart>
      <w:docPartPr>
        <w:name w:val="89726D245E0145E68DE8A9DD52FED254"/>
        <w:category>
          <w:name w:val="General"/>
          <w:gallery w:val="placeholder"/>
        </w:category>
        <w:types>
          <w:type w:val="bbPlcHdr"/>
        </w:types>
        <w:behaviors>
          <w:behavior w:val="content"/>
        </w:behaviors>
        <w:guid w:val="{F1135529-60DD-464A-B597-722A34BE65D1}"/>
      </w:docPartPr>
      <w:docPartBody>
        <w:p w:rsidR="00000000" w:rsidRDefault="00CB1E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4AC8"/>
    <w:rsid w:val="00A54AD6"/>
    <w:rsid w:val="00A57564"/>
    <w:rsid w:val="00B252A4"/>
    <w:rsid w:val="00B5530B"/>
    <w:rsid w:val="00C129E8"/>
    <w:rsid w:val="00C968BA"/>
    <w:rsid w:val="00CB1E7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A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14AC8"/>
    <w:rPr>
      <w:rFonts w:ascii="Times New Roman" w:hAnsi="Times New Roman"/>
      <w:sz w:val="24"/>
    </w:rPr>
  </w:style>
  <w:style w:type="paragraph" w:customStyle="1" w:styleId="487D89B4F8B34DB4967D41FE18F7F88D9">
    <w:name w:val="487D89B4F8B34DB4967D41FE18F7F88D9"/>
    <w:rsid w:val="00A14AC8"/>
    <w:rPr>
      <w:rFonts w:ascii="Times New Roman" w:hAnsi="Times New Roman"/>
      <w:sz w:val="24"/>
    </w:rPr>
  </w:style>
  <w:style w:type="paragraph" w:customStyle="1" w:styleId="AE2570ED5D764CD7AF9686706F550F4622">
    <w:name w:val="AE2570ED5D764CD7AF9686706F550F4622"/>
    <w:rsid w:val="00A14AC8"/>
    <w:pPr>
      <w:tabs>
        <w:tab w:val="center" w:pos="4680"/>
        <w:tab w:val="right" w:pos="9360"/>
      </w:tabs>
      <w:spacing w:after="0" w:line="240" w:lineRule="auto"/>
    </w:pPr>
    <w:rPr>
      <w:rFonts w:ascii="Times New Roman" w:hAnsi="Times New Roman"/>
      <w:sz w:val="24"/>
    </w:rPr>
  </w:style>
  <w:style w:type="paragraph" w:customStyle="1" w:styleId="48D986E082E14B8D97A68733E2BCFCB1">
    <w:name w:val="48D986E082E14B8D97A68733E2BCFCB1"/>
    <w:rsid w:val="00A14AC8"/>
    <w:pPr>
      <w:spacing w:after="160" w:line="259" w:lineRule="auto"/>
    </w:pPr>
  </w:style>
  <w:style w:type="paragraph" w:customStyle="1" w:styleId="0AA88C33D79A4439B9164F99C2F9B6DD">
    <w:name w:val="0AA88C33D79A4439B9164F99C2F9B6DD"/>
    <w:rsid w:val="00A14A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2C708D-CFA9-4E37-848F-3676E965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469</Words>
  <Characters>2676</Characters>
  <Application>Microsoft Office Word</Application>
  <DocSecurity>0</DocSecurity>
  <Lines>22</Lines>
  <Paragraphs>6</Paragraphs>
  <ScaleCrop>false</ScaleCrop>
  <Company>Texas Legislative Council</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2019-05-10T17:21:00Z</dcterms:modified>
</cp:coreProperties>
</file>

<file path=docProps/custom.xml><?xml version="1.0" encoding="utf-8"?>
<op:Properties xmlns:vt="http://schemas.openxmlformats.org/officeDocument/2006/docPropsVTypes" xmlns:op="http://schemas.openxmlformats.org/officeDocument/2006/custom-properties"/>
</file>