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54552" w:rsidTr="00345119">
        <w:tc>
          <w:tcPr>
            <w:tcW w:w="9576" w:type="dxa"/>
            <w:noWrap/>
          </w:tcPr>
          <w:p w:rsidR="008423E4" w:rsidRPr="0022177D" w:rsidRDefault="00AF507B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F507B" w:rsidP="008423E4">
      <w:pPr>
        <w:jc w:val="center"/>
      </w:pPr>
    </w:p>
    <w:p w:rsidR="008423E4" w:rsidRPr="00B31F0E" w:rsidRDefault="00AF507B" w:rsidP="008423E4"/>
    <w:p w:rsidR="008423E4" w:rsidRPr="00742794" w:rsidRDefault="00AF507B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54552" w:rsidTr="00345119">
        <w:tc>
          <w:tcPr>
            <w:tcW w:w="9576" w:type="dxa"/>
          </w:tcPr>
          <w:p w:rsidR="008423E4" w:rsidRPr="00861995" w:rsidRDefault="00AF507B" w:rsidP="00345119">
            <w:pPr>
              <w:jc w:val="right"/>
            </w:pPr>
            <w:r>
              <w:t>C.S.H.B. 388</w:t>
            </w:r>
          </w:p>
        </w:tc>
      </w:tr>
      <w:tr w:rsidR="00F54552" w:rsidTr="00345119">
        <w:tc>
          <w:tcPr>
            <w:tcW w:w="9576" w:type="dxa"/>
          </w:tcPr>
          <w:p w:rsidR="008423E4" w:rsidRPr="00861995" w:rsidRDefault="00AF507B" w:rsidP="00B86F2E">
            <w:pPr>
              <w:jc w:val="right"/>
            </w:pPr>
            <w:r>
              <w:t xml:space="preserve">By: </w:t>
            </w:r>
            <w:r>
              <w:t>Murphy</w:t>
            </w:r>
          </w:p>
        </w:tc>
      </w:tr>
      <w:tr w:rsidR="00F54552" w:rsidTr="00345119">
        <w:tc>
          <w:tcPr>
            <w:tcW w:w="9576" w:type="dxa"/>
          </w:tcPr>
          <w:p w:rsidR="008423E4" w:rsidRPr="00861995" w:rsidRDefault="00AF507B" w:rsidP="00345119">
            <w:pPr>
              <w:jc w:val="right"/>
            </w:pPr>
            <w:r>
              <w:t>Ways &amp; Means</w:t>
            </w:r>
          </w:p>
        </w:tc>
      </w:tr>
      <w:tr w:rsidR="00F54552" w:rsidTr="00345119">
        <w:tc>
          <w:tcPr>
            <w:tcW w:w="9576" w:type="dxa"/>
          </w:tcPr>
          <w:p w:rsidR="008423E4" w:rsidRDefault="00AF507B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F507B" w:rsidP="008423E4">
      <w:pPr>
        <w:tabs>
          <w:tab w:val="right" w:pos="9360"/>
        </w:tabs>
      </w:pPr>
    </w:p>
    <w:p w:rsidR="008423E4" w:rsidRDefault="00AF507B" w:rsidP="008423E4"/>
    <w:p w:rsidR="008423E4" w:rsidRDefault="00AF507B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54552" w:rsidTr="00345119">
        <w:tc>
          <w:tcPr>
            <w:tcW w:w="9576" w:type="dxa"/>
          </w:tcPr>
          <w:p w:rsidR="008423E4" w:rsidRPr="00A8133F" w:rsidRDefault="00AF507B" w:rsidP="00454A9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F507B" w:rsidP="00454A9F"/>
          <w:p w:rsidR="008423E4" w:rsidRDefault="00AF507B" w:rsidP="00454A9F">
            <w:pPr>
              <w:pStyle w:val="Header"/>
              <w:jc w:val="both"/>
            </w:pPr>
            <w:r>
              <w:t xml:space="preserve">It has been noted that </w:t>
            </w:r>
            <w:r>
              <w:t xml:space="preserve">certain </w:t>
            </w:r>
            <w:r>
              <w:t xml:space="preserve">real property leased to </w:t>
            </w:r>
            <w:r>
              <w:t xml:space="preserve">public </w:t>
            </w:r>
            <w:r>
              <w:t>schools</w:t>
            </w:r>
            <w:r>
              <w:t xml:space="preserve"> is exempt from property taxation</w:t>
            </w:r>
            <w:r>
              <w:t xml:space="preserve"> but that this </w:t>
            </w:r>
            <w:r>
              <w:t xml:space="preserve">tax </w:t>
            </w:r>
            <w:r>
              <w:t xml:space="preserve">exemption </w:t>
            </w:r>
            <w:r>
              <w:t xml:space="preserve">does </w:t>
            </w:r>
            <w:r>
              <w:t>not extend to property leased to an open-enrollment charter school</w:t>
            </w:r>
            <w:r>
              <w:t>. Concerns</w:t>
            </w:r>
            <w:r>
              <w:t xml:space="preserve"> have been raised that this </w:t>
            </w:r>
            <w:r>
              <w:t>increas</w:t>
            </w:r>
            <w:r>
              <w:t>es</w:t>
            </w:r>
            <w:r>
              <w:t xml:space="preserve"> the </w:t>
            </w:r>
            <w:r>
              <w:t xml:space="preserve">charter </w:t>
            </w:r>
            <w:r>
              <w:t>school's overall costs to educate its students and divert</w:t>
            </w:r>
            <w:r>
              <w:t>s</w:t>
            </w:r>
            <w:r>
              <w:t xml:space="preserve"> resources from the classroom</w:t>
            </w:r>
            <w:r>
              <w:t xml:space="preserve"> </w:t>
            </w:r>
            <w:r>
              <w:t>because</w:t>
            </w:r>
            <w:r>
              <w:t xml:space="preserve"> the lessor often includes the cost</w:t>
            </w:r>
            <w:r>
              <w:t xml:space="preserve"> of taxes in the lease payments</w:t>
            </w:r>
            <w:r>
              <w:t xml:space="preserve">. </w:t>
            </w:r>
            <w:r w:rsidRPr="003835B1">
              <w:t>C.S.</w:t>
            </w:r>
            <w:r>
              <w:t>H.B. 388 seeks to address this issue by providing for a property tax exemption for certain real property leased to and used by a charter school.</w:t>
            </w:r>
          </w:p>
          <w:p w:rsidR="008423E4" w:rsidRPr="00E26B13" w:rsidRDefault="00AF507B" w:rsidP="00454A9F">
            <w:pPr>
              <w:rPr>
                <w:b/>
              </w:rPr>
            </w:pPr>
          </w:p>
        </w:tc>
      </w:tr>
      <w:tr w:rsidR="00F54552" w:rsidTr="00345119">
        <w:tc>
          <w:tcPr>
            <w:tcW w:w="9576" w:type="dxa"/>
          </w:tcPr>
          <w:p w:rsidR="0017725B" w:rsidRDefault="00AF507B" w:rsidP="00454A9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F507B" w:rsidP="00454A9F">
            <w:pPr>
              <w:rPr>
                <w:b/>
                <w:u w:val="single"/>
              </w:rPr>
            </w:pPr>
          </w:p>
          <w:p w:rsidR="003529C6" w:rsidRPr="003529C6" w:rsidRDefault="00AF507B" w:rsidP="00454A9F">
            <w:pPr>
              <w:jc w:val="both"/>
            </w:pPr>
            <w:r>
              <w:t>It is the committee's opinion that this bill do</w:t>
            </w:r>
            <w:r>
              <w:t>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AF507B" w:rsidP="00454A9F">
            <w:pPr>
              <w:rPr>
                <w:b/>
                <w:u w:val="single"/>
              </w:rPr>
            </w:pPr>
          </w:p>
        </w:tc>
      </w:tr>
      <w:tr w:rsidR="00F54552" w:rsidTr="00345119">
        <w:tc>
          <w:tcPr>
            <w:tcW w:w="9576" w:type="dxa"/>
          </w:tcPr>
          <w:p w:rsidR="008423E4" w:rsidRPr="00A8133F" w:rsidRDefault="00AF507B" w:rsidP="00454A9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F507B" w:rsidP="00454A9F"/>
          <w:p w:rsidR="003529C6" w:rsidRDefault="00AF507B" w:rsidP="00454A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</w:t>
            </w:r>
            <w:r>
              <w:t>the committee's opinion that this bill does not expressly grant any additional rulemaking authority to a state officer, department, agency, or institution.</w:t>
            </w:r>
          </w:p>
          <w:p w:rsidR="008423E4" w:rsidRPr="00E21FDC" w:rsidRDefault="00AF507B" w:rsidP="00454A9F">
            <w:pPr>
              <w:rPr>
                <w:b/>
              </w:rPr>
            </w:pPr>
          </w:p>
        </w:tc>
      </w:tr>
      <w:tr w:rsidR="00F54552" w:rsidTr="00345119">
        <w:tc>
          <w:tcPr>
            <w:tcW w:w="9576" w:type="dxa"/>
          </w:tcPr>
          <w:p w:rsidR="008423E4" w:rsidRDefault="00AF507B" w:rsidP="00454A9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F952EC" w:rsidRPr="008536D6" w:rsidRDefault="00AF507B" w:rsidP="00454A9F">
            <w:pPr>
              <w:rPr>
                <w:b/>
              </w:rPr>
            </w:pPr>
          </w:p>
          <w:p w:rsidR="00224E97" w:rsidRDefault="00AF507B" w:rsidP="00454A9F">
            <w:pPr>
              <w:pStyle w:val="Header"/>
              <w:jc w:val="both"/>
            </w:pPr>
            <w:r w:rsidRPr="003835B1">
              <w:t>C.S.</w:t>
            </w:r>
            <w:r>
              <w:t>H.B. 388 amends the Tax Code to entitle a person to an exemption</w:t>
            </w:r>
            <w:r>
              <w:t xml:space="preserve"> </w:t>
            </w:r>
            <w:r>
              <w:t>from taxation of t</w:t>
            </w:r>
            <w:r>
              <w:t>he portion of the real property that the person owns and leases to a</w:t>
            </w:r>
            <w:r>
              <w:t xml:space="preserve"> qualified</w:t>
            </w:r>
            <w:r>
              <w:t xml:space="preserve"> open-enrollment charter school </w:t>
            </w:r>
            <w:r>
              <w:t xml:space="preserve">if </w:t>
            </w:r>
            <w:r>
              <w:t>the following conditions are met:</w:t>
            </w:r>
          </w:p>
          <w:p w:rsidR="00224E97" w:rsidRDefault="00AF507B" w:rsidP="00454A9F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the </w:t>
            </w:r>
            <w:r>
              <w:t xml:space="preserve">portion of the real </w:t>
            </w:r>
            <w:r>
              <w:t xml:space="preserve">property </w:t>
            </w:r>
            <w:r>
              <w:t xml:space="preserve">that is leased to the charter school </w:t>
            </w:r>
            <w:r>
              <w:t>is used exclusively by the s</w:t>
            </w:r>
            <w:r>
              <w:t>chool for</w:t>
            </w:r>
            <w:r>
              <w:t xml:space="preserve"> </w:t>
            </w:r>
            <w:r>
              <w:t>i</w:t>
            </w:r>
            <w:r>
              <w:t>ts</w:t>
            </w:r>
            <w:r w:rsidRPr="00B52691">
              <w:t xml:space="preserve"> operation or administration or the performance of other</w:t>
            </w:r>
            <w:r>
              <w:t xml:space="preserve"> educational functions</w:t>
            </w:r>
            <w:r>
              <w:t xml:space="preserve"> by the school</w:t>
            </w:r>
            <w:r>
              <w:t xml:space="preserve"> and </w:t>
            </w:r>
            <w:r>
              <w:t xml:space="preserve">is reasonably necessary </w:t>
            </w:r>
            <w:r>
              <w:t xml:space="preserve">for </w:t>
            </w:r>
            <w:r>
              <w:t xml:space="preserve">such </w:t>
            </w:r>
            <w:r>
              <w:t>a purpose</w:t>
            </w:r>
            <w:r>
              <w:t>;</w:t>
            </w:r>
            <w:r>
              <w:t xml:space="preserve"> and</w:t>
            </w:r>
            <w:r>
              <w:t xml:space="preserve"> </w:t>
            </w:r>
          </w:p>
          <w:p w:rsidR="00224E97" w:rsidRDefault="00AF507B" w:rsidP="00290189">
            <w:pPr>
              <w:pStyle w:val="Header"/>
              <w:numPr>
                <w:ilvl w:val="0"/>
                <w:numId w:val="1"/>
              </w:numPr>
              <w:jc w:val="both"/>
            </w:pPr>
            <w:r>
              <w:t xml:space="preserve">the owner </w:t>
            </w:r>
            <w:r w:rsidRPr="009B5B9F">
              <w:t xml:space="preserve">of the portion of the real property that is leased to the </w:t>
            </w:r>
            <w:r>
              <w:t xml:space="preserve">charter </w:t>
            </w:r>
            <w:r w:rsidRPr="009B5B9F">
              <w:t xml:space="preserve">school </w:t>
            </w:r>
            <w:r>
              <w:t>certifies by affidavit to</w:t>
            </w:r>
            <w:r>
              <w:t xml:space="preserve"> the school </w:t>
            </w:r>
            <w:r>
              <w:t xml:space="preserve">certain information relating to the payment of property taxes </w:t>
            </w:r>
            <w:r>
              <w:t xml:space="preserve">by the school </w:t>
            </w:r>
            <w:r>
              <w:t xml:space="preserve">under certain </w:t>
            </w:r>
            <w:r>
              <w:t xml:space="preserve">types of </w:t>
            </w:r>
            <w:r>
              <w:t xml:space="preserve">lease </w:t>
            </w:r>
            <w:r>
              <w:t>agreements to reflect the change in tax liability for the property</w:t>
            </w:r>
            <w:r>
              <w:t>.</w:t>
            </w:r>
          </w:p>
          <w:p w:rsidR="00877AC2" w:rsidRDefault="00AF507B" w:rsidP="00290189">
            <w:pPr>
              <w:pStyle w:val="Header"/>
              <w:jc w:val="both"/>
            </w:pPr>
          </w:p>
          <w:p w:rsidR="009E7EA8" w:rsidRDefault="00AF507B" w:rsidP="00290189">
            <w:pPr>
              <w:pStyle w:val="Header"/>
              <w:jc w:val="both"/>
            </w:pPr>
            <w:r>
              <w:t xml:space="preserve">C.S.H.B. 388 requires a property owner required to provide the </w:t>
            </w:r>
            <w:r>
              <w:t>affidavit to a charter school to do the following:</w:t>
            </w:r>
          </w:p>
          <w:p w:rsidR="009E7EA8" w:rsidRDefault="00AF507B" w:rsidP="00454A9F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provide</w:t>
            </w:r>
            <w:r>
              <w:t xml:space="preserve"> the school with a disclosure document stating the amount by which the taxes on the property are reduced as a result of the exemption and the method the owner will implement to ensure that the </w:t>
            </w:r>
            <w:r>
              <w:t xml:space="preserve">total consideration </w:t>
            </w:r>
            <w:r>
              <w:t>charged for the lease of the</w:t>
            </w:r>
            <w:r>
              <w:t xml:space="preserve"> real</w:t>
            </w:r>
            <w:r>
              <w:t xml:space="preserve"> property fully reflects that reduction</w:t>
            </w:r>
            <w:r>
              <w:t xml:space="preserve">; and </w:t>
            </w:r>
          </w:p>
          <w:p w:rsidR="009E7EA8" w:rsidRDefault="00AF507B" w:rsidP="00290189">
            <w:pPr>
              <w:pStyle w:val="Header"/>
              <w:numPr>
                <w:ilvl w:val="0"/>
                <w:numId w:val="3"/>
              </w:numPr>
              <w:jc w:val="both"/>
            </w:pPr>
            <w:r>
              <w:t xml:space="preserve">reduce </w:t>
            </w:r>
            <w:r>
              <w:t xml:space="preserve">the </w:t>
            </w:r>
            <w:r>
              <w:t>total consideration</w:t>
            </w:r>
            <w:r>
              <w:t xml:space="preserve"> for the lease of the </w:t>
            </w:r>
            <w:r>
              <w:t xml:space="preserve">real </w:t>
            </w:r>
            <w:r>
              <w:t xml:space="preserve">property through a monthly or annual credit against the </w:t>
            </w:r>
            <w:r w:rsidRPr="00194C65">
              <w:t>total consideration to reflect the amount by</w:t>
            </w:r>
            <w:r w:rsidRPr="00194C65">
              <w:t xml:space="preserve"> which the taxes on the real property are reduced as a result of the exemption</w:t>
            </w:r>
            <w:r>
              <w:t>.</w:t>
            </w:r>
            <w:r w:rsidRPr="00554631">
              <w:t xml:space="preserve"> </w:t>
            </w:r>
          </w:p>
          <w:p w:rsidR="009E7EA8" w:rsidRDefault="00AF507B" w:rsidP="00290189">
            <w:pPr>
              <w:pStyle w:val="Header"/>
              <w:jc w:val="both"/>
            </w:pPr>
          </w:p>
          <w:p w:rsidR="008423E4" w:rsidRDefault="00AF507B" w:rsidP="00454A9F">
            <w:pPr>
              <w:pStyle w:val="Header"/>
              <w:jc w:val="both"/>
            </w:pPr>
            <w:r>
              <w:t>C.S.H.B. 388 prohibits its</w:t>
            </w:r>
            <w:r>
              <w:t xml:space="preserve"> provisions from being </w:t>
            </w:r>
            <w:r w:rsidRPr="00194C65">
              <w:t xml:space="preserve">construed as invalidating an exemption from taxation of real property granted </w:t>
            </w:r>
            <w:r w:rsidRPr="00194C65">
              <w:t>before January 1, 2020</w:t>
            </w:r>
            <w:r>
              <w:t xml:space="preserve">, </w:t>
            </w:r>
            <w:r w:rsidRPr="00194C65">
              <w:t xml:space="preserve">to </w:t>
            </w:r>
            <w:r>
              <w:t>a</w:t>
            </w:r>
            <w:r w:rsidRPr="00194C65">
              <w:t xml:space="preserve"> charter school on </w:t>
            </w:r>
            <w:r w:rsidRPr="00194C65">
              <w:t xml:space="preserve">the basis </w:t>
            </w:r>
            <w:r>
              <w:t>that the</w:t>
            </w:r>
            <w:r>
              <w:t xml:space="preserve"> property </w:t>
            </w:r>
            <w:r>
              <w:t xml:space="preserve">was </w:t>
            </w:r>
            <w:r>
              <w:t>purchased or leased with state funds</w:t>
            </w:r>
            <w:r w:rsidRPr="00194C65">
              <w:t>.</w:t>
            </w:r>
            <w:r>
              <w:t xml:space="preserve"> The</w:t>
            </w:r>
            <w:r>
              <w:t xml:space="preserve"> </w:t>
            </w:r>
            <w:r>
              <w:t xml:space="preserve">bill </w:t>
            </w:r>
            <w:r>
              <w:t xml:space="preserve">excepts </w:t>
            </w:r>
            <w:r w:rsidRPr="00554631">
              <w:t xml:space="preserve">a leasehold interest in property for which the owner receives </w:t>
            </w:r>
            <w:r>
              <w:t>a</w:t>
            </w:r>
            <w:r w:rsidRPr="00554631">
              <w:t xml:space="preserve"> </w:t>
            </w:r>
            <w:r>
              <w:t xml:space="preserve">property tax </w:t>
            </w:r>
            <w:r w:rsidRPr="00554631">
              <w:t xml:space="preserve">exemption </w:t>
            </w:r>
            <w:r>
              <w:t xml:space="preserve">under the bill's provisions </w:t>
            </w:r>
            <w:r>
              <w:t>from the requir</w:t>
            </w:r>
            <w:r>
              <w:t>ement</w:t>
            </w:r>
            <w:r>
              <w:t xml:space="preserve"> </w:t>
            </w:r>
            <w:r>
              <w:t xml:space="preserve">for </w:t>
            </w:r>
            <w:r>
              <w:t>a leasehold or other possesso</w:t>
            </w:r>
            <w:r>
              <w:t>ry interest in real property that is exempt from property taxation</w:t>
            </w:r>
            <w:r w:rsidRPr="00F412D6">
              <w:t xml:space="preserve"> </w:t>
            </w:r>
            <w:r>
              <w:t xml:space="preserve">to </w:t>
            </w:r>
            <w:r w:rsidRPr="00F412D6">
              <w:t>be listed in the name of the owner of the possessory interest if the duration of the interest may be at least one year</w:t>
            </w:r>
            <w:r w:rsidRPr="00554631">
              <w:t>.</w:t>
            </w:r>
            <w:r>
              <w:t xml:space="preserve"> </w:t>
            </w:r>
          </w:p>
          <w:p w:rsidR="003A0705" w:rsidRPr="00554631" w:rsidRDefault="00AF507B" w:rsidP="00454A9F">
            <w:pPr>
              <w:pStyle w:val="Header"/>
              <w:jc w:val="both"/>
            </w:pPr>
          </w:p>
        </w:tc>
      </w:tr>
      <w:tr w:rsidR="00F54552" w:rsidTr="00345119">
        <w:tc>
          <w:tcPr>
            <w:tcW w:w="9576" w:type="dxa"/>
          </w:tcPr>
          <w:p w:rsidR="008423E4" w:rsidRPr="00A8133F" w:rsidRDefault="00AF507B" w:rsidP="00454A9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F507B" w:rsidP="00454A9F"/>
          <w:p w:rsidR="008423E4" w:rsidRPr="00554631" w:rsidRDefault="00AF507B" w:rsidP="00454A9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</w:t>
            </w:r>
            <w:r>
              <w:t xml:space="preserve"> </w:t>
            </w:r>
            <w:r>
              <w:t>1, 2020, if</w:t>
            </w:r>
            <w:r>
              <w:t xml:space="preserve"> the constitutional amendment a</w:t>
            </w:r>
            <w:r w:rsidRPr="00554631">
              <w:t xml:space="preserve">uthorizing the legislature to exempt from </w:t>
            </w:r>
            <w:r>
              <w:t>property</w:t>
            </w:r>
            <w:r w:rsidRPr="00554631">
              <w:t xml:space="preserve"> taxation real property leased to certain schools organized and operated primarily for the purpose of engaging in educational functions is approved by the voters</w:t>
            </w:r>
            <w:r>
              <w:t>.</w:t>
            </w:r>
          </w:p>
          <w:p w:rsidR="008423E4" w:rsidRPr="00233FDB" w:rsidRDefault="00AF507B" w:rsidP="00454A9F">
            <w:pPr>
              <w:rPr>
                <w:b/>
              </w:rPr>
            </w:pPr>
          </w:p>
        </w:tc>
      </w:tr>
      <w:tr w:rsidR="00F54552" w:rsidTr="00345119">
        <w:tc>
          <w:tcPr>
            <w:tcW w:w="9576" w:type="dxa"/>
          </w:tcPr>
          <w:p w:rsidR="008536D6" w:rsidRDefault="00AF507B" w:rsidP="00454A9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</w:t>
            </w:r>
            <w:r>
              <w:rPr>
                <w:b/>
                <w:u w:val="single"/>
              </w:rPr>
              <w:t xml:space="preserve"> OF ORIGINAL AND SUBSTITUTE</w:t>
            </w:r>
          </w:p>
          <w:p w:rsidR="00F952EC" w:rsidRPr="008536D6" w:rsidRDefault="00AF507B" w:rsidP="00454A9F">
            <w:pPr>
              <w:jc w:val="both"/>
              <w:rPr>
                <w:b/>
                <w:u w:val="single"/>
              </w:rPr>
            </w:pPr>
          </w:p>
          <w:p w:rsidR="00B52691" w:rsidRDefault="00AF507B" w:rsidP="00454A9F">
            <w:pPr>
              <w:jc w:val="both"/>
            </w:pPr>
            <w:r>
              <w:t>While C.S.H.B. 388 may differ from the original in minor or nonsubstantive ways, the following summarizes the substantial differences between the introduced and committee substitute versions of the bill.</w:t>
            </w:r>
          </w:p>
          <w:p w:rsidR="00B52691" w:rsidRDefault="00AF507B" w:rsidP="00454A9F">
            <w:pPr>
              <w:jc w:val="both"/>
            </w:pPr>
          </w:p>
          <w:p w:rsidR="00E84BC6" w:rsidRDefault="00AF507B" w:rsidP="00454A9F">
            <w:pPr>
              <w:jc w:val="both"/>
            </w:pPr>
            <w:r>
              <w:t>The substitute revises</w:t>
            </w:r>
            <w:r>
              <w:t xml:space="preserve"> the necessary conditions for a person who </w:t>
            </w:r>
            <w:r w:rsidRPr="00E84BC6">
              <w:t xml:space="preserve">owns and leases </w:t>
            </w:r>
            <w:r>
              <w:t xml:space="preserve">real property </w:t>
            </w:r>
            <w:r w:rsidRPr="00E84BC6">
              <w:t xml:space="preserve">to </w:t>
            </w:r>
            <w:r>
              <w:t>a qualified</w:t>
            </w:r>
            <w:r w:rsidRPr="00E84BC6">
              <w:t xml:space="preserve"> charter school</w:t>
            </w:r>
            <w:r>
              <w:t xml:space="preserve"> </w:t>
            </w:r>
            <w:r>
              <w:t xml:space="preserve">to qualify for the tax exemption </w:t>
            </w:r>
            <w:r>
              <w:t>by:</w:t>
            </w:r>
          </w:p>
          <w:p w:rsidR="00A8574B" w:rsidRDefault="00AF507B" w:rsidP="00454A9F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 xml:space="preserve">including the operation </w:t>
            </w:r>
            <w:r>
              <w:t xml:space="preserve">or </w:t>
            </w:r>
            <w:r>
              <w:t>administration of the charter school among the authorized uses of the property</w:t>
            </w:r>
            <w:r>
              <w:t xml:space="preserve">; </w:t>
            </w:r>
          </w:p>
          <w:p w:rsidR="00E84BC6" w:rsidRDefault="00AF507B" w:rsidP="00454A9F">
            <w:pPr>
              <w:pStyle w:val="ListParagraph"/>
              <w:numPr>
                <w:ilvl w:val="0"/>
                <w:numId w:val="4"/>
              </w:numPr>
              <w:spacing w:before="120" w:after="120"/>
              <w:contextualSpacing w:val="0"/>
              <w:jc w:val="both"/>
            </w:pPr>
            <w:r>
              <w:t>revising</w:t>
            </w:r>
            <w:r>
              <w:t xml:space="preserve"> the information that the property owner must certify by affidavit to the charter school</w:t>
            </w:r>
            <w:r>
              <w:t xml:space="preserve"> by specifying the content based on whether the</w:t>
            </w:r>
            <w:r>
              <w:t xml:space="preserve"> lease requires the school to pay</w:t>
            </w:r>
            <w:r>
              <w:t xml:space="preserve"> taxes to the property owner or to the collector</w:t>
            </w:r>
            <w:r>
              <w:t xml:space="preserve">; </w:t>
            </w:r>
            <w:r>
              <w:t>and</w:t>
            </w:r>
          </w:p>
          <w:p w:rsidR="00A8574B" w:rsidRDefault="00AF507B" w:rsidP="00290189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>clarifying that the conditions app</w:t>
            </w:r>
            <w:r>
              <w:t>ly only with respect to the portion of the land leased to the charter school.</w:t>
            </w:r>
          </w:p>
          <w:p w:rsidR="00A8574B" w:rsidRDefault="00AF507B" w:rsidP="00454A9F">
            <w:pPr>
              <w:jc w:val="both"/>
            </w:pPr>
          </w:p>
          <w:p w:rsidR="00A8574B" w:rsidRDefault="00AF507B" w:rsidP="00454A9F">
            <w:pPr>
              <w:jc w:val="both"/>
            </w:pPr>
            <w:r>
              <w:t>The substitute revises the required actions that coincide with the provision of an affidavit</w:t>
            </w:r>
            <w:r>
              <w:t xml:space="preserve"> if the lease agreement requires the school to pay taxes directly to the collector</w:t>
            </w:r>
            <w:r>
              <w:t>.</w:t>
            </w:r>
          </w:p>
          <w:p w:rsidR="00A8574B" w:rsidRDefault="00AF507B" w:rsidP="00454A9F">
            <w:pPr>
              <w:jc w:val="both"/>
            </w:pPr>
          </w:p>
          <w:p w:rsidR="007911C1" w:rsidRDefault="00AF507B" w:rsidP="00454A9F">
            <w:pPr>
              <w:jc w:val="both"/>
            </w:pPr>
            <w:r>
              <w:t xml:space="preserve">The substitute </w:t>
            </w:r>
            <w:r>
              <w:t>prohibits</w:t>
            </w:r>
            <w:r>
              <w:t xml:space="preserve"> its provisions from being </w:t>
            </w:r>
            <w:r w:rsidRPr="00194C65">
              <w:t>construed as invalidating a</w:t>
            </w:r>
            <w:r>
              <w:t xml:space="preserve"> certain</w:t>
            </w:r>
            <w:r w:rsidRPr="00194C65">
              <w:t xml:space="preserve"> exemption from taxation of real property granted before January 1, 2020</w:t>
            </w:r>
            <w:r>
              <w:t xml:space="preserve">. </w:t>
            </w:r>
          </w:p>
          <w:p w:rsidR="008536D6" w:rsidRPr="008536D6" w:rsidRDefault="00AF507B" w:rsidP="00454A9F">
            <w:pPr>
              <w:jc w:val="both"/>
            </w:pPr>
          </w:p>
        </w:tc>
      </w:tr>
      <w:tr w:rsidR="00F54552" w:rsidTr="00345119">
        <w:tc>
          <w:tcPr>
            <w:tcW w:w="9576" w:type="dxa"/>
          </w:tcPr>
          <w:p w:rsidR="00B86F2E" w:rsidRPr="009C1E9A" w:rsidRDefault="00AF507B" w:rsidP="00454A9F">
            <w:pPr>
              <w:rPr>
                <w:b/>
                <w:u w:val="single"/>
              </w:rPr>
            </w:pPr>
          </w:p>
        </w:tc>
      </w:tr>
      <w:tr w:rsidR="00F54552" w:rsidTr="00345119">
        <w:tc>
          <w:tcPr>
            <w:tcW w:w="9576" w:type="dxa"/>
          </w:tcPr>
          <w:p w:rsidR="00B86F2E" w:rsidRPr="00B86F2E" w:rsidRDefault="00AF507B" w:rsidP="00454A9F">
            <w:pPr>
              <w:jc w:val="both"/>
            </w:pPr>
          </w:p>
        </w:tc>
      </w:tr>
    </w:tbl>
    <w:p w:rsidR="008423E4" w:rsidRPr="00BE0E75" w:rsidRDefault="00AF507B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F507B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F507B">
      <w:r>
        <w:separator/>
      </w:r>
    </w:p>
  </w:endnote>
  <w:endnote w:type="continuationSeparator" w:id="0">
    <w:p w:rsidR="00000000" w:rsidRDefault="00AF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F5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54552" w:rsidTr="009C1E9A">
      <w:trPr>
        <w:cantSplit/>
      </w:trPr>
      <w:tc>
        <w:tcPr>
          <w:tcW w:w="0" w:type="pct"/>
        </w:tcPr>
        <w:p w:rsidR="00137D90" w:rsidRDefault="00AF507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F507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F507B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F507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F507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4552" w:rsidTr="009C1E9A">
      <w:trPr>
        <w:cantSplit/>
      </w:trPr>
      <w:tc>
        <w:tcPr>
          <w:tcW w:w="0" w:type="pct"/>
        </w:tcPr>
        <w:p w:rsidR="00EC379B" w:rsidRDefault="00AF507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F507B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29769</w:t>
          </w:r>
        </w:p>
      </w:tc>
      <w:tc>
        <w:tcPr>
          <w:tcW w:w="2453" w:type="pct"/>
        </w:tcPr>
        <w:p w:rsidR="00EC379B" w:rsidRDefault="00AF507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19.116.125</w:t>
          </w:r>
          <w:r>
            <w:fldChar w:fldCharType="end"/>
          </w:r>
        </w:p>
      </w:tc>
    </w:tr>
    <w:tr w:rsidR="00F54552" w:rsidTr="009C1E9A">
      <w:trPr>
        <w:cantSplit/>
      </w:trPr>
      <w:tc>
        <w:tcPr>
          <w:tcW w:w="0" w:type="pct"/>
        </w:tcPr>
        <w:p w:rsidR="00EC379B" w:rsidRDefault="00AF507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F507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23437</w:t>
          </w:r>
        </w:p>
      </w:tc>
      <w:tc>
        <w:tcPr>
          <w:tcW w:w="2453" w:type="pct"/>
        </w:tcPr>
        <w:p w:rsidR="00EC379B" w:rsidRDefault="00AF507B" w:rsidP="006D504F">
          <w:pPr>
            <w:pStyle w:val="Footer"/>
            <w:rPr>
              <w:rStyle w:val="PageNumber"/>
            </w:rPr>
          </w:pPr>
        </w:p>
        <w:p w:rsidR="00EC379B" w:rsidRDefault="00AF507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5455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F507B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AF507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F507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F5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F507B">
      <w:r>
        <w:separator/>
      </w:r>
    </w:p>
  </w:footnote>
  <w:footnote w:type="continuationSeparator" w:id="0">
    <w:p w:rsidR="00000000" w:rsidRDefault="00AF5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F5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F50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F5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70E"/>
    <w:multiLevelType w:val="hybridMultilevel"/>
    <w:tmpl w:val="8C38D7E0"/>
    <w:lvl w:ilvl="0" w:tplc="B12A4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B8B8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C637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161A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42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B445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814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7A91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D415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A7683"/>
    <w:multiLevelType w:val="hybridMultilevel"/>
    <w:tmpl w:val="87763610"/>
    <w:lvl w:ilvl="0" w:tplc="36FEFB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F01A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62D4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149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B033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526F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6ED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AE3B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3611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E14D7"/>
    <w:multiLevelType w:val="hybridMultilevel"/>
    <w:tmpl w:val="4B3E121E"/>
    <w:lvl w:ilvl="0" w:tplc="B93CB7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0CD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8CD1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0A37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341B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96A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8881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60CE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A24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6460A"/>
    <w:multiLevelType w:val="hybridMultilevel"/>
    <w:tmpl w:val="8370D9C2"/>
    <w:lvl w:ilvl="0" w:tplc="9AD214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A252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66D5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C2CF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80B8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9C52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6A1A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42C7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240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52"/>
    <w:rsid w:val="00AF507B"/>
    <w:rsid w:val="00F5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9D919-FD3F-4468-9ECB-1FFC1631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546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46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463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46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4631"/>
    <w:rPr>
      <w:b/>
      <w:bCs/>
    </w:rPr>
  </w:style>
  <w:style w:type="paragraph" w:styleId="ListParagraph">
    <w:name w:val="List Paragraph"/>
    <w:basedOn w:val="Normal"/>
    <w:uiPriority w:val="34"/>
    <w:qFormat/>
    <w:rsid w:val="0085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3939</Characters>
  <Application>Microsoft Office Word</Application>
  <DocSecurity>4</DocSecurity>
  <Lines>93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HB00388 (Committee Report (Substituted))</vt:lpstr>
    </vt:vector>
  </TitlesOfParts>
  <Company>State of Texas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29769</dc:subject>
  <dc:creator>State of Texas</dc:creator>
  <dc:description>HB 388 by Murphy-(H)Ways &amp; Means (Substitute Document Number: 86R 23437)</dc:description>
  <cp:lastModifiedBy>Laura Ramsay</cp:lastModifiedBy>
  <cp:revision>2</cp:revision>
  <cp:lastPrinted>2003-11-26T17:21:00Z</cp:lastPrinted>
  <dcterms:created xsi:type="dcterms:W3CDTF">2019-04-27T02:22:00Z</dcterms:created>
  <dcterms:modified xsi:type="dcterms:W3CDTF">2019-04-27T02:22:00Z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19.116.125</vt:lpwstr>
  </property>
</Properties>
</file>