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45" w:rsidRDefault="00757F4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63BAF07FBB4AE192842CA45E88547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57F45" w:rsidRPr="00585C31" w:rsidRDefault="00757F45" w:rsidP="000F1DF9">
      <w:pPr>
        <w:spacing w:after="0" w:line="240" w:lineRule="auto"/>
        <w:rPr>
          <w:rFonts w:cs="Times New Roman"/>
          <w:szCs w:val="24"/>
        </w:rPr>
      </w:pPr>
    </w:p>
    <w:p w:rsidR="00757F45" w:rsidRPr="00585C31" w:rsidRDefault="00757F4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57F45" w:rsidTr="000F1DF9">
        <w:tc>
          <w:tcPr>
            <w:tcW w:w="2718" w:type="dxa"/>
          </w:tcPr>
          <w:p w:rsidR="00757F45" w:rsidRPr="005C2A78" w:rsidRDefault="00757F4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2D3807A6C6343E68C9EBE28C97E94D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57F45" w:rsidRPr="00FF6471" w:rsidRDefault="00757F4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4422583669C4833AD91AA125973A3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449</w:t>
                </w:r>
              </w:sdtContent>
            </w:sdt>
          </w:p>
        </w:tc>
      </w:tr>
      <w:tr w:rsidR="00757F4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749B6FA2780424788B49D6D1D65A62D"/>
            </w:placeholder>
            <w:showingPlcHdr/>
          </w:sdtPr>
          <w:sdtContent>
            <w:tc>
              <w:tcPr>
                <w:tcW w:w="2718" w:type="dxa"/>
              </w:tcPr>
              <w:p w:rsidR="00757F45" w:rsidRPr="000F1DF9" w:rsidRDefault="00757F4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57F45" w:rsidRPr="005C2A78" w:rsidRDefault="00757F4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89D526FE8DA4726963C9F27E42853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91CA99AF1F742BB817CE7F1515FE8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Turner, Chris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3F01089AEFB4058B9B9D2A4112A2E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757F45" w:rsidTr="000F1DF9">
        <w:tc>
          <w:tcPr>
            <w:tcW w:w="2718" w:type="dxa"/>
          </w:tcPr>
          <w:p w:rsidR="00757F45" w:rsidRPr="00BC7495" w:rsidRDefault="00757F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E48C7B2ABE44E3691EF1828CE818D29"/>
            </w:placeholder>
          </w:sdtPr>
          <w:sdtContent>
            <w:tc>
              <w:tcPr>
                <w:tcW w:w="6858" w:type="dxa"/>
              </w:tcPr>
              <w:p w:rsidR="00757F45" w:rsidRPr="00FF6471" w:rsidRDefault="00757F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757F45" w:rsidTr="000F1DF9">
        <w:tc>
          <w:tcPr>
            <w:tcW w:w="2718" w:type="dxa"/>
          </w:tcPr>
          <w:p w:rsidR="00757F45" w:rsidRPr="00BC7495" w:rsidRDefault="00757F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747F6BF756D4FCFA379FF940B7D2AF7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57F45" w:rsidRPr="00FF6471" w:rsidRDefault="00757F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757F45" w:rsidTr="000F1DF9">
        <w:tc>
          <w:tcPr>
            <w:tcW w:w="2718" w:type="dxa"/>
          </w:tcPr>
          <w:p w:rsidR="00757F45" w:rsidRPr="00BC7495" w:rsidRDefault="00757F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7D2FC971AF40ABA422369032381934"/>
            </w:placeholder>
          </w:sdtPr>
          <w:sdtContent>
            <w:tc>
              <w:tcPr>
                <w:tcW w:w="6858" w:type="dxa"/>
              </w:tcPr>
              <w:p w:rsidR="00757F45" w:rsidRPr="00FF6471" w:rsidRDefault="00757F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57F45" w:rsidRPr="00FF6471" w:rsidRDefault="00757F45" w:rsidP="000F1DF9">
      <w:pPr>
        <w:spacing w:after="0" w:line="240" w:lineRule="auto"/>
        <w:rPr>
          <w:rFonts w:cs="Times New Roman"/>
          <w:szCs w:val="24"/>
        </w:rPr>
      </w:pPr>
    </w:p>
    <w:p w:rsidR="00757F45" w:rsidRPr="00FF6471" w:rsidRDefault="00757F45" w:rsidP="000F1DF9">
      <w:pPr>
        <w:spacing w:after="0" w:line="240" w:lineRule="auto"/>
        <w:rPr>
          <w:rFonts w:cs="Times New Roman"/>
          <w:szCs w:val="24"/>
        </w:rPr>
      </w:pPr>
    </w:p>
    <w:p w:rsidR="00757F45" w:rsidRPr="00FF6471" w:rsidRDefault="00757F4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33645982CDE48A782395AA74B71A4C5"/>
        </w:placeholder>
      </w:sdtPr>
      <w:sdtContent>
        <w:p w:rsidR="00757F45" w:rsidRDefault="00757F4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6E21EBB479A4EEFA788211E76087529"/>
        </w:placeholder>
      </w:sdtPr>
      <w:sdtContent>
        <w:p w:rsidR="00757F45" w:rsidRDefault="00757F45" w:rsidP="00C24789">
          <w:pPr>
            <w:pStyle w:val="NormalWeb"/>
            <w:spacing w:before="0" w:beforeAutospacing="0" w:after="0" w:afterAutospacing="0"/>
            <w:jc w:val="both"/>
            <w:divId w:val="861823818"/>
            <w:rPr>
              <w:rFonts w:eastAsia="Times New Roman"/>
              <w:bCs/>
            </w:rPr>
          </w:pPr>
        </w:p>
        <w:p w:rsidR="00757F45" w:rsidRDefault="00757F45" w:rsidP="00C24789">
          <w:pPr>
            <w:pStyle w:val="NormalWeb"/>
            <w:spacing w:before="0" w:beforeAutospacing="0" w:after="0" w:afterAutospacing="0"/>
            <w:jc w:val="both"/>
            <w:divId w:val="861823818"/>
            <w:rPr>
              <w:color w:val="000000"/>
            </w:rPr>
          </w:pPr>
          <w:r w:rsidRPr="00C24789">
            <w:rPr>
              <w:color w:val="000000"/>
            </w:rPr>
            <w:t>Stakeholders have expressed concern that a student who was expelled from an institution of higher education may enroll at a new institution without that institution being made aware of potential safety risks associated with the student's prior conduct. For example, there have been cases of a student being expelled for committing a violent offense against another student and then enrolling at a new institution that did not know about the student's earlier offense.</w:t>
          </w:r>
        </w:p>
        <w:p w:rsidR="00757F45" w:rsidRPr="00C24789" w:rsidRDefault="00757F45" w:rsidP="00C24789">
          <w:pPr>
            <w:pStyle w:val="NormalWeb"/>
            <w:spacing w:before="0" w:beforeAutospacing="0" w:after="0" w:afterAutospacing="0"/>
            <w:jc w:val="both"/>
            <w:divId w:val="861823818"/>
            <w:rPr>
              <w:color w:val="000000"/>
            </w:rPr>
          </w:pPr>
        </w:p>
        <w:p w:rsidR="00757F45" w:rsidRDefault="00757F45" w:rsidP="00C24789">
          <w:pPr>
            <w:pStyle w:val="NormalWeb"/>
            <w:spacing w:before="0" w:beforeAutospacing="0" w:after="0" w:afterAutospacing="0"/>
            <w:jc w:val="both"/>
            <w:divId w:val="861823818"/>
            <w:rPr>
              <w:color w:val="000000"/>
            </w:rPr>
          </w:pPr>
          <w:r w:rsidRPr="00C24789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 xml:space="preserve"> 449 addresses these concerns by requiring public, private, and independent institutions of higher education in Texas to add a notation on the transcript of a student who is ineligible to reenroll at the institution for a reason other than an academic or financial reason. H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 xml:space="preserve"> 449 also requires institutions to complete the investigatory process if a student withdraws from the institution pending disciplinary charges that may result in the student becoming ineligible to reenroll for reasons other than academic and financial reasons. At the same time, H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 xml:space="preserve"> 449 also respects due process by creating a mechanism to remove the notation if the student becomes eligible to reenroll or the institution determines that good cause exists to remove it.</w:t>
          </w:r>
        </w:p>
        <w:p w:rsidR="00757F45" w:rsidRPr="00C24789" w:rsidRDefault="00757F45" w:rsidP="00C24789">
          <w:pPr>
            <w:pStyle w:val="NormalWeb"/>
            <w:spacing w:before="0" w:beforeAutospacing="0" w:after="0" w:afterAutospacing="0"/>
            <w:jc w:val="both"/>
            <w:divId w:val="861823818"/>
            <w:rPr>
              <w:color w:val="000000"/>
            </w:rPr>
          </w:pPr>
        </w:p>
        <w:p w:rsidR="00757F45" w:rsidRPr="00C24789" w:rsidRDefault="00757F45" w:rsidP="00C24789">
          <w:pPr>
            <w:pStyle w:val="NormalWeb"/>
            <w:spacing w:before="0" w:beforeAutospacing="0" w:after="0" w:afterAutospacing="0"/>
            <w:jc w:val="both"/>
            <w:divId w:val="861823818"/>
            <w:rPr>
              <w:color w:val="000000"/>
            </w:rPr>
          </w:pPr>
          <w:r w:rsidRPr="00C24789">
            <w:rPr>
              <w:color w:val="000000"/>
            </w:rPr>
            <w:t>In this way, H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24789">
            <w:rPr>
              <w:color w:val="000000"/>
            </w:rPr>
            <w:t xml:space="preserve"> 449 gives institutions of higher education another tool to ensure they do not inadvertently admit a student who has been expelled for serious misconduct that could pose a danger to other students. </w:t>
          </w:r>
        </w:p>
        <w:p w:rsidR="00757F45" w:rsidRPr="00D70925" w:rsidRDefault="00757F45" w:rsidP="00C2478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57F45" w:rsidRDefault="00757F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449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a public or private institution of higher education include a notation on a student's transcript under certain circumstances.</w:t>
      </w:r>
    </w:p>
    <w:p w:rsidR="00757F45" w:rsidRPr="00C24789" w:rsidRDefault="00757F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F45" w:rsidRPr="005C2A78" w:rsidRDefault="00757F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122509DEC7F4F5BB5C829DEBFF5D2D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57F45" w:rsidRPr="006529C4" w:rsidRDefault="00757F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57F45" w:rsidRPr="006529C4" w:rsidRDefault="00757F4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</w:t>
      </w:r>
      <w:r w:rsidRPr="00C24789">
        <w:rPr>
          <w:rFonts w:cs="Times New Roman"/>
          <w:szCs w:val="24"/>
        </w:rPr>
        <w:t>Texas Higher Education Coordinating Board</w:t>
      </w:r>
      <w:r>
        <w:rPr>
          <w:rFonts w:cs="Times New Roman"/>
          <w:szCs w:val="24"/>
        </w:rPr>
        <w:t xml:space="preserve"> in SECTION 1 (</w:t>
      </w:r>
      <w:r>
        <w:rPr>
          <w:rFonts w:eastAsia="Times New Roman" w:cs="Times New Roman"/>
          <w:szCs w:val="24"/>
        </w:rPr>
        <w:t>Section 51.9364</w:t>
      </w:r>
      <w:r>
        <w:rPr>
          <w:rFonts w:cs="Times New Roman"/>
          <w:szCs w:val="24"/>
        </w:rPr>
        <w:t>, Education Code) of this bill.</w:t>
      </w:r>
    </w:p>
    <w:p w:rsidR="00757F45" w:rsidRPr="006529C4" w:rsidRDefault="00757F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57F45" w:rsidRPr="005C2A78" w:rsidRDefault="00757F4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AEF0E09C638496AA4CA113CD97A58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57F45" w:rsidRPr="005C2A78" w:rsidRDefault="00757F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24789">
        <w:rPr>
          <w:rFonts w:eastAsia="Times New Roman" w:cs="Times New Roman"/>
          <w:szCs w:val="24"/>
        </w:rPr>
        <w:t xml:space="preserve">Subchapter Z, Chapter 51, Education Code, </w:t>
      </w:r>
      <w:r>
        <w:rPr>
          <w:rFonts w:eastAsia="Times New Roman" w:cs="Times New Roman"/>
          <w:szCs w:val="24"/>
        </w:rPr>
        <w:t xml:space="preserve">by adding Section 51.9364, </w:t>
      </w:r>
      <w:r w:rsidRPr="00C24789">
        <w:rPr>
          <w:rFonts w:eastAsia="Times New Roman" w:cs="Times New Roman"/>
          <w:szCs w:val="24"/>
        </w:rPr>
        <w:t>as follows:</w:t>
      </w: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Sec. 51.9364.</w:t>
      </w:r>
      <w:r>
        <w:rPr>
          <w:rFonts w:eastAsia="Times New Roman" w:cs="Times New Roman"/>
          <w:szCs w:val="24"/>
        </w:rPr>
        <w:t xml:space="preserve"> </w:t>
      </w:r>
      <w:r w:rsidRPr="00C24789">
        <w:rPr>
          <w:rFonts w:eastAsia="Times New Roman" w:cs="Times New Roman"/>
          <w:szCs w:val="24"/>
        </w:rPr>
        <w:t>CERTAIN NOTATIONS REQUIRED ON STUDENT TRANSCRIPTS. (a)</w:t>
      </w:r>
      <w:r>
        <w:rPr>
          <w:rFonts w:eastAsia="Times New Roman" w:cs="Times New Roman"/>
          <w:szCs w:val="24"/>
        </w:rPr>
        <w:t xml:space="preserve"> Defines </w:t>
      </w:r>
      <w:r w:rsidRPr="00C24789">
        <w:rPr>
          <w:rFonts w:eastAsia="Times New Roman" w:cs="Times New Roman"/>
          <w:szCs w:val="24"/>
        </w:rPr>
        <w:t xml:space="preserve">"postsecondary educational institution" </w:t>
      </w:r>
      <w:r>
        <w:rPr>
          <w:rFonts w:eastAsia="Times New Roman" w:cs="Times New Roman"/>
          <w:szCs w:val="24"/>
        </w:rPr>
        <w:t>for purposes of</w:t>
      </w:r>
      <w:r w:rsidRPr="00C24789">
        <w:rPr>
          <w:rFonts w:eastAsia="Times New Roman" w:cs="Times New Roman"/>
          <w:szCs w:val="24"/>
        </w:rPr>
        <w:t xml:space="preserve"> this section</w:t>
      </w:r>
      <w:r>
        <w:rPr>
          <w:rFonts w:eastAsia="Times New Roman" w:cs="Times New Roman"/>
          <w:szCs w:val="24"/>
        </w:rPr>
        <w:t>.</w:t>
      </w:r>
    </w:p>
    <w:p w:rsidR="00757F45" w:rsidRPr="00C24789" w:rsidRDefault="00757F45" w:rsidP="00620FB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a</w:t>
      </w:r>
      <w:r w:rsidRPr="00C24789">
        <w:rPr>
          <w:rFonts w:eastAsia="Times New Roman" w:cs="Times New Roman"/>
          <w:szCs w:val="24"/>
        </w:rPr>
        <w:t xml:space="preserve"> postsecondary educational institution</w:t>
      </w:r>
      <w:r>
        <w:rPr>
          <w:rFonts w:eastAsia="Times New Roman" w:cs="Times New Roman"/>
          <w:szCs w:val="24"/>
        </w:rPr>
        <w:t>, i</w:t>
      </w:r>
      <w:r w:rsidRPr="00C24789">
        <w:rPr>
          <w:rFonts w:eastAsia="Times New Roman" w:cs="Times New Roman"/>
          <w:szCs w:val="24"/>
        </w:rPr>
        <w:t>f a studen</w:t>
      </w:r>
      <w:r>
        <w:rPr>
          <w:rFonts w:eastAsia="Times New Roman" w:cs="Times New Roman"/>
          <w:szCs w:val="24"/>
        </w:rPr>
        <w:t>t is ineligible to reenroll in the</w:t>
      </w:r>
      <w:r w:rsidRPr="00C24789">
        <w:rPr>
          <w:rFonts w:eastAsia="Times New Roman" w:cs="Times New Roman"/>
          <w:szCs w:val="24"/>
        </w:rPr>
        <w:t xml:space="preserve"> postsecondary educational institution for a reason other than an academic or financial reason, </w:t>
      </w:r>
      <w:r>
        <w:rPr>
          <w:rFonts w:eastAsia="Times New Roman" w:cs="Times New Roman"/>
          <w:szCs w:val="24"/>
        </w:rPr>
        <w:t>to</w:t>
      </w:r>
      <w:r w:rsidRPr="00C24789">
        <w:rPr>
          <w:rFonts w:eastAsia="Times New Roman" w:cs="Times New Roman"/>
          <w:szCs w:val="24"/>
        </w:rPr>
        <w:t xml:space="preserve"> include on the student's transcript a notation stating that the student is ineligible to reenroll in the institution for a reason other than an academic or financial reason.</w:t>
      </w: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Prohibits a postsecondary educational institution, i</w:t>
      </w:r>
      <w:r w:rsidRPr="00C24789">
        <w:rPr>
          <w:rFonts w:eastAsia="Times New Roman" w:cs="Times New Roman"/>
          <w:szCs w:val="24"/>
        </w:rPr>
        <w:t xml:space="preserve">f a student withdraws from </w:t>
      </w:r>
      <w:r>
        <w:rPr>
          <w:rFonts w:eastAsia="Times New Roman" w:cs="Times New Roman"/>
          <w:szCs w:val="24"/>
        </w:rPr>
        <w:t>the</w:t>
      </w:r>
      <w:r w:rsidRPr="00C24789">
        <w:rPr>
          <w:rFonts w:eastAsia="Times New Roman" w:cs="Times New Roman"/>
          <w:szCs w:val="24"/>
        </w:rPr>
        <w:t xml:space="preserve"> institution pending disciplinary charges that may result in the student becoming ineligible to reenroll in the institution for a reason other than an academic or financial reason, </w:t>
      </w:r>
      <w:r>
        <w:rPr>
          <w:rFonts w:eastAsia="Times New Roman" w:cs="Times New Roman"/>
          <w:szCs w:val="24"/>
        </w:rPr>
        <w:t>from</w:t>
      </w:r>
      <w:r w:rsidRPr="00C24789">
        <w:rPr>
          <w:rFonts w:eastAsia="Times New Roman" w:cs="Times New Roman"/>
          <w:szCs w:val="24"/>
        </w:rPr>
        <w:t xml:space="preserve"> end</w:t>
      </w:r>
      <w:r>
        <w:rPr>
          <w:rFonts w:eastAsia="Times New Roman" w:cs="Times New Roman"/>
          <w:szCs w:val="24"/>
        </w:rPr>
        <w:t>ing</w:t>
      </w:r>
      <w:r w:rsidRPr="00C24789">
        <w:rPr>
          <w:rFonts w:eastAsia="Times New Roman" w:cs="Times New Roman"/>
          <w:szCs w:val="24"/>
        </w:rPr>
        <w:t xml:space="preserve"> the disciplinary process until the institution makes a final determination of responsibility, including, if applicable, a determination of whether the student will be ineligible to reenroll in the institution for a reason other than an academic or financial reason. </w:t>
      </w:r>
      <w:r>
        <w:rPr>
          <w:rFonts w:eastAsia="Times New Roman" w:cs="Times New Roman"/>
          <w:szCs w:val="24"/>
        </w:rPr>
        <w:t>Requires the institution, i</w:t>
      </w:r>
      <w:r w:rsidRPr="00C24789">
        <w:rPr>
          <w:rFonts w:eastAsia="Times New Roman" w:cs="Times New Roman"/>
          <w:szCs w:val="24"/>
        </w:rPr>
        <w:t xml:space="preserve">f, as a result of the disciplinary process, the student is ineligible to reenroll in the institution for a reason other than an academic or financial reason, </w:t>
      </w:r>
      <w:r>
        <w:rPr>
          <w:rFonts w:eastAsia="Times New Roman" w:cs="Times New Roman"/>
          <w:szCs w:val="24"/>
        </w:rPr>
        <w:t>to</w:t>
      </w:r>
      <w:r w:rsidRPr="00C24789">
        <w:rPr>
          <w:rFonts w:eastAsia="Times New Roman" w:cs="Times New Roman"/>
          <w:szCs w:val="24"/>
        </w:rPr>
        <w:t xml:space="preserve"> include on the student's transcript the notation required under Subsection (b).</w:t>
      </w: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</w:t>
      </w:r>
      <w:r w:rsidRPr="00C24789">
        <w:rPr>
          <w:rFonts w:eastAsia="Times New Roman" w:cs="Times New Roman"/>
          <w:szCs w:val="24"/>
        </w:rPr>
        <w:t>a postse</w:t>
      </w:r>
      <w:r>
        <w:rPr>
          <w:rFonts w:eastAsia="Times New Roman" w:cs="Times New Roman"/>
          <w:szCs w:val="24"/>
        </w:rPr>
        <w:t>condary educational institution, o</w:t>
      </w:r>
      <w:r w:rsidRPr="00C24789">
        <w:rPr>
          <w:rFonts w:eastAsia="Times New Roman" w:cs="Times New Roman"/>
          <w:szCs w:val="24"/>
        </w:rPr>
        <w:t xml:space="preserve">n request by the student, </w:t>
      </w:r>
      <w:r>
        <w:rPr>
          <w:rFonts w:eastAsia="Times New Roman" w:cs="Times New Roman"/>
          <w:szCs w:val="24"/>
        </w:rPr>
        <w:t>to</w:t>
      </w:r>
      <w:r w:rsidRPr="00C24789">
        <w:rPr>
          <w:rFonts w:eastAsia="Times New Roman" w:cs="Times New Roman"/>
          <w:szCs w:val="24"/>
        </w:rPr>
        <w:t xml:space="preserve"> remove from a student's transcript a notation required under this section if:</w:t>
      </w: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24789">
        <w:rPr>
          <w:rFonts w:eastAsia="Times New Roman" w:cs="Times New Roman"/>
          <w:szCs w:val="24"/>
        </w:rPr>
        <w:t>the student is eligible to reenroll in the institution; or</w:t>
      </w:r>
    </w:p>
    <w:p w:rsidR="00757F45" w:rsidRPr="00C24789" w:rsidRDefault="00757F45" w:rsidP="00620FB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C24789">
        <w:rPr>
          <w:rFonts w:eastAsia="Times New Roman" w:cs="Times New Roman"/>
          <w:szCs w:val="24"/>
        </w:rPr>
        <w:t>the institution determines that good cause exists to remove the notation.</w:t>
      </w: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t</w:t>
      </w:r>
      <w:r w:rsidRPr="00C24789">
        <w:rPr>
          <w:rFonts w:eastAsia="Times New Roman" w:cs="Times New Roman"/>
          <w:szCs w:val="24"/>
        </w:rPr>
        <w:t xml:space="preserve">he Texas Higher Education Coordinating Board </w:t>
      </w:r>
      <w:r>
        <w:rPr>
          <w:rFonts w:eastAsia="Times New Roman" w:cs="Times New Roman"/>
          <w:szCs w:val="24"/>
        </w:rPr>
        <w:t>(THECB) to</w:t>
      </w:r>
      <w:r w:rsidRPr="00C24789">
        <w:rPr>
          <w:rFonts w:eastAsia="Times New Roman" w:cs="Times New Roman"/>
          <w:szCs w:val="24"/>
        </w:rPr>
        <w:t xml:space="preserve"> adopt rules as necessary to implement this section. </w:t>
      </w:r>
      <w:r>
        <w:rPr>
          <w:rFonts w:eastAsia="Times New Roman" w:cs="Times New Roman"/>
          <w:szCs w:val="24"/>
        </w:rPr>
        <w:t>Requires THECB, i</w:t>
      </w:r>
      <w:r w:rsidRPr="00C24789">
        <w:rPr>
          <w:rFonts w:eastAsia="Times New Roman" w:cs="Times New Roman"/>
          <w:szCs w:val="24"/>
        </w:rPr>
        <w:t xml:space="preserve">n adopting those rules, </w:t>
      </w:r>
      <w:r>
        <w:rPr>
          <w:rFonts w:eastAsia="Times New Roman" w:cs="Times New Roman"/>
          <w:szCs w:val="24"/>
        </w:rPr>
        <w:t>to</w:t>
      </w:r>
      <w:r w:rsidRPr="00C24789">
        <w:rPr>
          <w:rFonts w:eastAsia="Times New Roman" w:cs="Times New Roman"/>
          <w:szCs w:val="24"/>
        </w:rPr>
        <w:t xml:space="preserve"> use the negotiated rulemaking procedures under Chapter 2008</w:t>
      </w:r>
      <w:r>
        <w:rPr>
          <w:rFonts w:eastAsia="Times New Roman" w:cs="Times New Roman"/>
          <w:szCs w:val="24"/>
        </w:rPr>
        <w:t xml:space="preserve"> (Negotiated Rulemaking)</w:t>
      </w:r>
      <w:r w:rsidRPr="00C24789">
        <w:rPr>
          <w:rFonts w:eastAsia="Times New Roman" w:cs="Times New Roman"/>
          <w:szCs w:val="24"/>
        </w:rPr>
        <w:t>, Government Code.</w:t>
      </w: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THECB</w:t>
      </w:r>
      <w:r w:rsidRPr="00C2478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C24789">
        <w:rPr>
          <w:rFonts w:eastAsia="Times New Roman" w:cs="Times New Roman"/>
          <w:szCs w:val="24"/>
        </w:rPr>
        <w:t xml:space="preserve"> adopt the rules required by Section 51.9364, Education Code, as added by this Act, as soon as practicable after this Act takes effect.</w:t>
      </w:r>
      <w:r>
        <w:rPr>
          <w:rFonts w:eastAsia="Times New Roman" w:cs="Times New Roman"/>
          <w:szCs w:val="24"/>
        </w:rPr>
        <w:t xml:space="preserve"> </w:t>
      </w: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Provides that t</w:t>
      </w:r>
      <w:r w:rsidRPr="00C24789">
        <w:rPr>
          <w:rFonts w:eastAsia="Times New Roman" w:cs="Times New Roman"/>
          <w:szCs w:val="24"/>
        </w:rPr>
        <w:t>he change in law made by this Act applies beginning with the 2019 fall semester.</w:t>
      </w:r>
    </w:p>
    <w:p w:rsidR="00757F45" w:rsidRPr="00C24789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F45" w:rsidRPr="00C8671F" w:rsidRDefault="00757F45" w:rsidP="00620F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4789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Effective date: upon passage or </w:t>
      </w:r>
      <w:r w:rsidRPr="00C24789">
        <w:rPr>
          <w:rFonts w:eastAsia="Times New Roman" w:cs="Times New Roman"/>
          <w:szCs w:val="24"/>
        </w:rPr>
        <w:t>September 1, 2019.</w:t>
      </w:r>
    </w:p>
    <w:sectPr w:rsidR="00757F4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1E" w:rsidRDefault="00EE421E" w:rsidP="000F1DF9">
      <w:pPr>
        <w:spacing w:after="0" w:line="240" w:lineRule="auto"/>
      </w:pPr>
      <w:r>
        <w:separator/>
      </w:r>
    </w:p>
  </w:endnote>
  <w:endnote w:type="continuationSeparator" w:id="0">
    <w:p w:rsidR="00EE421E" w:rsidRDefault="00EE421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E421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57F45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57F45">
                <w:rPr>
                  <w:sz w:val="20"/>
                  <w:szCs w:val="20"/>
                </w:rPr>
                <w:t>H.B. 449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57F4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E421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57F4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57F4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1E" w:rsidRDefault="00EE421E" w:rsidP="000F1DF9">
      <w:pPr>
        <w:spacing w:after="0" w:line="240" w:lineRule="auto"/>
      </w:pPr>
      <w:r>
        <w:separator/>
      </w:r>
    </w:p>
  </w:footnote>
  <w:footnote w:type="continuationSeparator" w:id="0">
    <w:p w:rsidR="00EE421E" w:rsidRDefault="00EE421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57F45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EE421E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24B91"/>
  <w15:docId w15:val="{8DB88883-AF75-42F1-A2F1-4D16E0C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F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B0DF9" w:rsidP="000B0DF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63BAF07FBB4AE192842CA45E88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C871-CFA9-46AF-A741-34EF64E59051}"/>
      </w:docPartPr>
      <w:docPartBody>
        <w:p w:rsidR="00000000" w:rsidRDefault="00B500C4"/>
      </w:docPartBody>
    </w:docPart>
    <w:docPart>
      <w:docPartPr>
        <w:name w:val="12D3807A6C6343E68C9EBE28C97E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D319-F284-4998-8216-D95D109E447C}"/>
      </w:docPartPr>
      <w:docPartBody>
        <w:p w:rsidR="00000000" w:rsidRDefault="00B500C4"/>
      </w:docPartBody>
    </w:docPart>
    <w:docPart>
      <w:docPartPr>
        <w:name w:val="74422583669C4833AD91AA125973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6F70-A490-4DDB-BCBF-1496903401F0}"/>
      </w:docPartPr>
      <w:docPartBody>
        <w:p w:rsidR="00000000" w:rsidRDefault="00B500C4"/>
      </w:docPartBody>
    </w:docPart>
    <w:docPart>
      <w:docPartPr>
        <w:name w:val="9749B6FA2780424788B49D6D1D65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D28E-7756-4AC3-B3C3-8BBACBD881BB}"/>
      </w:docPartPr>
      <w:docPartBody>
        <w:p w:rsidR="00000000" w:rsidRDefault="00B500C4"/>
      </w:docPartBody>
    </w:docPart>
    <w:docPart>
      <w:docPartPr>
        <w:name w:val="489D526FE8DA4726963C9F27E428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15B2-12CA-44FE-B019-C088527D73F1}"/>
      </w:docPartPr>
      <w:docPartBody>
        <w:p w:rsidR="00000000" w:rsidRDefault="00B500C4"/>
      </w:docPartBody>
    </w:docPart>
    <w:docPart>
      <w:docPartPr>
        <w:name w:val="A91CA99AF1F742BB817CE7F1515F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5A7D-FC22-4108-99FE-579F053969A0}"/>
      </w:docPartPr>
      <w:docPartBody>
        <w:p w:rsidR="00000000" w:rsidRDefault="00B500C4"/>
      </w:docPartBody>
    </w:docPart>
    <w:docPart>
      <w:docPartPr>
        <w:name w:val="D3F01089AEFB4058B9B9D2A4112A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0AEB-1EC3-4908-8931-0F62FE469592}"/>
      </w:docPartPr>
      <w:docPartBody>
        <w:p w:rsidR="00000000" w:rsidRDefault="00B500C4"/>
      </w:docPartBody>
    </w:docPart>
    <w:docPart>
      <w:docPartPr>
        <w:name w:val="DE48C7B2ABE44E3691EF1828CE81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42F4-D622-4679-8191-9A564DB7AFEC}"/>
      </w:docPartPr>
      <w:docPartBody>
        <w:p w:rsidR="00000000" w:rsidRDefault="00B500C4"/>
      </w:docPartBody>
    </w:docPart>
    <w:docPart>
      <w:docPartPr>
        <w:name w:val="0747F6BF756D4FCFA379FF940B7D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EFFD-D10B-44EF-A96F-C8286895456B}"/>
      </w:docPartPr>
      <w:docPartBody>
        <w:p w:rsidR="00000000" w:rsidRDefault="000B0DF9" w:rsidP="000B0DF9">
          <w:pPr>
            <w:pStyle w:val="0747F6BF756D4FCFA379FF940B7D2AF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7D2FC971AF40ABA42236903238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253D-65C8-4C74-AC8E-B0747DDF353B}"/>
      </w:docPartPr>
      <w:docPartBody>
        <w:p w:rsidR="00000000" w:rsidRDefault="00B500C4"/>
      </w:docPartBody>
    </w:docPart>
    <w:docPart>
      <w:docPartPr>
        <w:name w:val="333645982CDE48A782395AA74B71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AD71-6CB9-43DD-B63D-2B966EB081B9}"/>
      </w:docPartPr>
      <w:docPartBody>
        <w:p w:rsidR="00000000" w:rsidRDefault="00B500C4"/>
      </w:docPartBody>
    </w:docPart>
    <w:docPart>
      <w:docPartPr>
        <w:name w:val="36E21EBB479A4EEFA788211E7608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1946-83EC-4D88-BF06-89D72E00D2C3}"/>
      </w:docPartPr>
      <w:docPartBody>
        <w:p w:rsidR="00000000" w:rsidRDefault="000B0DF9" w:rsidP="000B0DF9">
          <w:pPr>
            <w:pStyle w:val="36E21EBB479A4EEFA788211E760875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122509DEC7F4F5BB5C829DEBFF5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A499-14FC-4712-BB31-178385F1C630}"/>
      </w:docPartPr>
      <w:docPartBody>
        <w:p w:rsidR="00000000" w:rsidRDefault="00B500C4"/>
      </w:docPartBody>
    </w:docPart>
    <w:docPart>
      <w:docPartPr>
        <w:name w:val="FAEF0E09C638496AA4CA113CD97A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CBEB-820D-4C21-B6DD-F9A797983311}"/>
      </w:docPartPr>
      <w:docPartBody>
        <w:p w:rsidR="00000000" w:rsidRDefault="00B500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B0DF9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00C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DF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B0DF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B0DF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B0DF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47F6BF756D4FCFA379FF940B7D2AF7">
    <w:name w:val="0747F6BF756D4FCFA379FF940B7D2AF7"/>
    <w:rsid w:val="000B0DF9"/>
    <w:pPr>
      <w:spacing w:after="160" w:line="259" w:lineRule="auto"/>
    </w:pPr>
  </w:style>
  <w:style w:type="paragraph" w:customStyle="1" w:styleId="36E21EBB479A4EEFA788211E76087529">
    <w:name w:val="36E21EBB479A4EEFA788211E76087529"/>
    <w:rsid w:val="000B0D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B4DABB8-17DF-4819-B9D3-480B0547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653</Words>
  <Characters>3726</Characters>
  <Application>Microsoft Office Word</Application>
  <DocSecurity>0</DocSecurity>
  <Lines>31</Lines>
  <Paragraphs>8</Paragraphs>
  <ScaleCrop>false</ScaleCrop>
  <Company>Texas Legislative Council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2019-05-14T15:14:00Z</cp:lastPrinted>
  <dcterms:created xsi:type="dcterms:W3CDTF">2015-05-29T14:24:00Z</dcterms:created>
  <dcterms:modified xsi:type="dcterms:W3CDTF">2019-05-14T15:14:00Z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